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94443"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0106"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01531"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b614462109ad1ec6b753befaa48d6a7895113f9bfb8a7b1585c2fe8ac8eb8853d012837103&amp;scene=126&amp;sessionid=174344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