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3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5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92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发现多处图像重复。图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中的多个面板是重复的（例如，顶部为对照，底部为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NaHS + HG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，顶部为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U0126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“CIRP-NC”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“β-actin miR-374b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条带的重复，该论文在本文提交前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个月提交给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Molecules and Cells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10.14348/molcells.2018.2211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Yun-Ling Hao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Fang Fang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Wen-Ying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。此项调查由爱思唯尔研究诚信与出版伦理团队开展，并得到主编的确认。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https://www.sciencedirect.com/science/article/pii/S0024320525002061?via%3Dihub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81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6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2&amp;sn=3957beab6e542c7aafdd8b4cc58f6d25&amp;chksm=cf164b65d67c8c7d2b3cb25a5984ce9954e32be99271365d8b627bc42db6d7ef24583d58602c&amp;scene=126&amp;sessionid=1743479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