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7505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与产生的 CeO 2 纳米花 （NFs） 相关的立方体结构，其平均结晶宽度为 7 nm，已通过 X 射线晶体学研究得到证实。所使用的方法是环境可接受的，因为它将废弃的香蕉皮提取物转化为 CeO 2 纳米花。</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3 月 29 日，印度</w:t>
      </w:r>
      <w:r>
        <w:rPr>
          <w:rStyle w:val="any"/>
          <w:rFonts w:ascii="Microsoft YaHei UI" w:eastAsia="Microsoft YaHei UI" w:hAnsi="Microsoft YaHei UI" w:cs="Microsoft YaHei UI"/>
          <w:color w:val="222222"/>
          <w:spacing w:val="8"/>
          <w:sz w:val="23"/>
          <w:szCs w:val="23"/>
        </w:rPr>
        <w:t>Vivekanandha 女子工程学院的M S Manojkumar等人在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Banana peel extract for CeO2 nanoflower synthesis: Enhancing photocatalytic activity for methyl orange dye removal and bactericidal effects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该研究结果表明，纵灵活的微小颗粒以实现有效和可定制的感染和皮肤科医生进步的目的确实令人惊叹。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47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28891" name=""/>
                    <pic:cNvPicPr>
                      <a:picLocks noChangeAspect="1"/>
                    </pic:cNvPicPr>
                  </pic:nvPicPr>
                  <pic:blipFill>
                    <a:blip xmlns:r="http://schemas.openxmlformats.org/officeDocument/2006/relationships" r:embed="rId8"/>
                    <a:stretch>
                      <a:fillRect/>
                    </a:stretch>
                  </pic:blipFill>
                  <pic:spPr>
                    <a:xfrm>
                      <a:off x="0" y="0"/>
                      <a:ext cx="5486400" cy="41674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上提出问题后，我们开始了调查，网址为</w:t>
      </w:r>
      <w:r>
        <w:rPr>
          <w:rStyle w:val="any"/>
          <w:rFonts w:ascii="Times New Roman" w:eastAsia="Times New Roman" w:hAnsi="Times New Roman" w:cs="Times New Roman"/>
          <w:spacing w:val="8"/>
          <w:sz w:val="23"/>
          <w:szCs w:val="23"/>
        </w:rPr>
        <w:t xml:space="preserve"> https://pubpeer.com/publications/23008D54C71AEEA1554071AF873432</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中的四个面板中的三个之前已由另一组作者在《材料研究杂志》第</w:t>
      </w:r>
      <w:r>
        <w:rPr>
          <w:rStyle w:val="any"/>
          <w:rFonts w:ascii="Times New Roman" w:eastAsia="Times New Roman" w:hAnsi="Times New Roman" w:cs="Times New Roman"/>
          <w:spacing w:val="8"/>
          <w:sz w:val="23"/>
          <w:szCs w:val="23"/>
        </w:rPr>
        <w:t xml:space="preserve"> 38 </w:t>
      </w:r>
      <w:r>
        <w:rPr>
          <w:rStyle w:val="any"/>
          <w:rFonts w:ascii="PMingLiU" w:eastAsia="PMingLiU" w:hAnsi="PMingLiU" w:cs="PMingLiU"/>
          <w:spacing w:val="8"/>
          <w:sz w:val="23"/>
          <w:szCs w:val="23"/>
        </w:rPr>
        <w:t>期</w:t>
      </w:r>
      <w:r>
        <w:rPr>
          <w:rStyle w:val="any"/>
          <w:rFonts w:ascii="Times New Roman" w:eastAsia="Times New Roman" w:hAnsi="Times New Roman" w:cs="Times New Roman"/>
          <w:spacing w:val="8"/>
          <w:sz w:val="23"/>
          <w:szCs w:val="23"/>
        </w:rPr>
        <w:t xml:space="preserve"> (2023) 1909–1918 </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 xml:space="preserve"> (https://doi.org/10.1557/s43578-023-00965-3) </w:t>
      </w:r>
      <w:r>
        <w:rPr>
          <w:rStyle w:val="any"/>
          <w:rFonts w:ascii="PMingLiU" w:eastAsia="PMingLiU" w:hAnsi="PMingLiU" w:cs="PMingLiU"/>
          <w:spacing w:val="8"/>
          <w:sz w:val="23"/>
          <w:szCs w:val="23"/>
        </w:rPr>
        <w:t>中作为图</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发表。两篇文章使用了相同的图像，但呈现了不同材料的图像。提交论文发表的条件之一是作者明确声明他们的作品是原创的，并且没有出现在其他出版物中。任何数据的重复使用都应适当引用。因此，这篇文章严重滥用了科学出版系统。科学界对此事持非常强烈的看法，并向期刊的读者致歉，因为在提交过程中没有检测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此外，图</w:t>
      </w:r>
      <w:r>
        <w:rPr>
          <w:rStyle w:val="any"/>
          <w:rFonts w:ascii="Times New Roman" w:eastAsia="Times New Roman" w:hAnsi="Times New Roman" w:cs="Times New Roman"/>
          <w:spacing w:val="8"/>
          <w:sz w:val="23"/>
          <w:szCs w:val="23"/>
        </w:rPr>
        <w:t xml:space="preserve"> 6b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EDX </w:t>
      </w:r>
      <w:r>
        <w:rPr>
          <w:rStyle w:val="any"/>
          <w:rFonts w:ascii="PMingLiU" w:eastAsia="PMingLiU" w:hAnsi="PMingLiU" w:cs="PMingLiU"/>
          <w:spacing w:val="8"/>
          <w:sz w:val="23"/>
          <w:szCs w:val="23"/>
        </w:rPr>
        <w:t>光谱至少出现在另外三篇文章中，包括</w:t>
      </w:r>
      <w:r>
        <w:rPr>
          <w:rStyle w:val="any"/>
          <w:rFonts w:ascii="Times New Roman" w:eastAsia="Times New Roman" w:hAnsi="Times New Roman" w:cs="Times New Roman"/>
          <w:spacing w:val="8"/>
          <w:sz w:val="23"/>
          <w:szCs w:val="23"/>
        </w:rPr>
        <w:t xml:space="preserve"> Environmental Research, 251 (2024) 118728, https://doi.org/10.1016/j.envres.2024.118728</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Environmental Research, 242 (2024) 117761, https://doi.org/10.1016/j.envres.2023.117761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4c</w:t>
      </w:r>
      <w:r>
        <w:rPr>
          <w:rStyle w:val="any"/>
          <w:rFonts w:ascii="PMingLiU" w:eastAsia="PMingLiU" w:hAnsi="PMingLiU" w:cs="PMingLiU"/>
          <w:spacing w:val="8"/>
          <w:sz w:val="23"/>
          <w:szCs w:val="23"/>
        </w:rPr>
        <w:t>）；环境研究，</w:t>
      </w:r>
      <w:r>
        <w:rPr>
          <w:rStyle w:val="any"/>
          <w:rFonts w:ascii="Times New Roman" w:eastAsia="Times New Roman" w:hAnsi="Times New Roman" w:cs="Times New Roman"/>
          <w:spacing w:val="8"/>
          <w:sz w:val="23"/>
          <w:szCs w:val="23"/>
        </w:rPr>
        <w:t>242 (2024) 117625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https://doi.org/10.1016/j.envres.2023.117625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6c</w:t>
      </w:r>
      <w:r>
        <w:rPr>
          <w:rStyle w:val="any"/>
          <w:rFonts w:ascii="PMingLiU" w:eastAsia="PMingLiU" w:hAnsi="PMingLiU" w:cs="PMingLiU"/>
          <w:spacing w:val="8"/>
          <w:sz w:val="23"/>
          <w:szCs w:val="23"/>
        </w:rPr>
        <w:t>）。我们联系了通讯作者，请其就所有这些问题发表评论，但作者无法提供合适的解释。因此，编辑对本文中提出的研究结果的可靠性失去了信心，并决定撤回本文。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https://www.sciencedirect.com/science/article/pii/S0013935125006462?via%3Dihub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3337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75050"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5&amp;sn=0eaf497cb96fea7c89cfbe7598fdf0cb&amp;chksm=cfe72306e4dce10c161025bdb61707a4dfebb916c2db18335134e6c31e5e352caeb5743f7e18&amp;scene=126&amp;sessionid=1743442267"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