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3686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17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92078" name=""/>
                    <pic:cNvPicPr>
                      <a:picLocks noChangeAspect="1"/>
                    </pic:cNvPicPr>
                  </pic:nvPicPr>
                  <pic:blipFill>
                    <a:blip xmlns:r="http://schemas.openxmlformats.org/officeDocument/2006/relationships" r:embed="rId8"/>
                    <a:stretch>
                      <a:fillRect/>
                    </a:stretch>
                  </pic:blipFill>
                  <pic:spPr>
                    <a:xfrm>
                      <a:off x="0" y="0"/>
                      <a:ext cx="5486400" cy="43317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GBM8 DR5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1 Tu+Met Casp-1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GBM18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3b HNSSC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GBM31R mCherry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[2]</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5f AGFP+MSC-GFP mCherry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DR5 </w:t>
      </w:r>
      <w:r>
        <w:rPr>
          <w:rStyle w:val="any"/>
          <w:rFonts w:ascii="PMingLiU" w:eastAsia="PMingLiU" w:hAnsi="PMingLiU" w:cs="PMingLiU"/>
          <w:spacing w:val="8"/>
          <w:sz w:val="23"/>
          <w:szCs w:val="23"/>
        </w:rPr>
        <w:t>图像与</w:t>
      </w:r>
      <w:r>
        <w:rPr>
          <w:rStyle w:val="any"/>
          <w:rFonts w:ascii="Times New Roman" w:eastAsia="Times New Roman" w:hAnsi="Times New Roman" w:cs="Times New Roman"/>
          <w:spacing w:val="8"/>
          <w:sz w:val="23"/>
          <w:szCs w:val="23"/>
        </w:rPr>
        <w:t xml:space="preserve"> FisherScientific </w:t>
      </w:r>
      <w:r>
        <w:rPr>
          <w:rStyle w:val="any"/>
          <w:rFonts w:ascii="PMingLiU" w:eastAsia="PMingLiU" w:hAnsi="PMingLiU" w:cs="PMingLiU"/>
          <w:spacing w:val="8"/>
          <w:sz w:val="23"/>
          <w:szCs w:val="23"/>
        </w:rPr>
        <w:t>网站上参考文献</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BCHE </w:t>
      </w:r>
      <w:r>
        <w:rPr>
          <w:rStyle w:val="any"/>
          <w:rFonts w:ascii="PMingLiU" w:eastAsia="PMingLiU" w:hAnsi="PMingLiU" w:cs="PMingLiU"/>
          <w:spacing w:val="8"/>
          <w:sz w:val="23"/>
          <w:szCs w:val="23"/>
        </w:rPr>
        <w:t>抗体图像高度相似。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S2a </w:t>
      </w:r>
      <w:r>
        <w:rPr>
          <w:rStyle w:val="any"/>
          <w:rFonts w:ascii="PMingLiU" w:eastAsia="PMingLiU" w:hAnsi="PMingLiU" w:cs="PMingLiU"/>
          <w:spacing w:val="8"/>
          <w:sz w:val="23"/>
          <w:szCs w:val="23"/>
        </w:rPr>
        <w:t>两张图像看起来都与</w:t>
      </w:r>
      <w:r>
        <w:rPr>
          <w:rStyle w:val="any"/>
          <w:rFonts w:ascii="Times New Roman" w:eastAsia="Times New Roman" w:hAnsi="Times New Roman" w:cs="Times New Roman"/>
          <w:spacing w:val="8"/>
          <w:sz w:val="23"/>
          <w:szCs w:val="23"/>
        </w:rPr>
        <w:t xml:space="preserve"> ScienCell </w:t>
      </w:r>
      <w:r>
        <w:rPr>
          <w:rStyle w:val="any"/>
          <w:rFonts w:ascii="PMingLiU" w:eastAsia="PMingLiU" w:hAnsi="PMingLiU" w:cs="PMingLiU"/>
          <w:spacing w:val="8"/>
          <w:sz w:val="23"/>
          <w:szCs w:val="23"/>
        </w:rPr>
        <w:t>网站</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上的人骨来源间充质干细胞图像高度相似。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未处理的脑和</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周图像分别与图</w:t>
      </w:r>
      <w:r>
        <w:rPr>
          <w:rStyle w:val="any"/>
          <w:rFonts w:ascii="Times New Roman" w:eastAsia="Times New Roman" w:hAnsi="Times New Roman" w:cs="Times New Roman"/>
          <w:spacing w:val="8"/>
          <w:sz w:val="23"/>
          <w:szCs w:val="23"/>
        </w:rPr>
        <w:t xml:space="preserve"> 6 4c AZD9291 15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30 mg/kg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肺和肾</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周和第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周的图像与</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参考文献</w:t>
      </w:r>
      <w:r>
        <w:rPr>
          <w:rStyle w:val="any"/>
          <w:rFonts w:ascii="Times New Roman" w:eastAsia="Times New Roman" w:hAnsi="Times New Roman" w:cs="Times New Roman"/>
          <w:spacing w:val="8"/>
          <w:sz w:val="23"/>
          <w:szCs w:val="23"/>
        </w:rPr>
        <w:t>[7]</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8a</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HA-VES7/DOX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DOX-Sol</w:t>
      </w:r>
      <w:r>
        <w:rPr>
          <w:rStyle w:val="any"/>
          <w:rFonts w:ascii="PMingLiU" w:eastAsia="PMingLiU" w:hAnsi="PMingLiU" w:cs="PMingLiU"/>
          <w:spacing w:val="8"/>
          <w:sz w:val="23"/>
          <w:szCs w:val="23"/>
        </w:rPr>
        <w:t>）和肾脏（</w:t>
      </w:r>
      <w:r>
        <w:rPr>
          <w:rStyle w:val="any"/>
          <w:rFonts w:ascii="Times New Roman" w:eastAsia="Times New Roman" w:hAnsi="Times New Roman" w:cs="Times New Roman"/>
          <w:spacing w:val="8"/>
          <w:sz w:val="23"/>
          <w:szCs w:val="23"/>
        </w:rPr>
        <w:t xml:space="preserve">HA-VES4/DOX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HA-VES12/DOX</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大脑</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中间图像高度相似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未处理的肺图像与参考文献</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自然衰老组肺图像高度相似</w:t>
      </w:r>
      <w:r>
        <w:rPr>
          <w:rStyle w:val="any"/>
          <w:rFonts w:ascii="Times New Roman" w:eastAsia="Times New Roman" w:hAnsi="Times New Roman" w:cs="Times New Roman"/>
          <w:spacing w:val="8"/>
          <w:sz w:val="23"/>
          <w:szCs w:val="23"/>
        </w:rPr>
        <w:t>; 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[10]</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 WT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S5a EnMSC-GFP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 xml:space="preserve">EnMSC-Bif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42 </w:t>
      </w:r>
      <w:r>
        <w:rPr>
          <w:rStyle w:val="any"/>
          <w:rFonts w:ascii="PMingLiU" w:eastAsia="PMingLiU" w:hAnsi="PMingLiU" w:cs="PMingLiU"/>
          <w:spacing w:val="8"/>
          <w:sz w:val="23"/>
          <w:szCs w:val="23"/>
        </w:rPr>
        <w:t>天和</w:t>
      </w:r>
      <w:r>
        <w:rPr>
          <w:rStyle w:val="any"/>
          <w:rFonts w:ascii="Times New Roman" w:eastAsia="Times New Roman" w:hAnsi="Times New Roman" w:cs="Times New Roman"/>
          <w:spacing w:val="8"/>
          <w:sz w:val="23"/>
          <w:szCs w:val="23"/>
        </w:rPr>
        <w:t xml:space="preserve"> EnMSC-Bif+GCV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天图像与参考文献</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6e d7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d15 A172-S TRAIL </w:t>
      </w:r>
      <w:r>
        <w:rPr>
          <w:rStyle w:val="any"/>
          <w:rFonts w:ascii="PMingLiU" w:eastAsia="PMingLiU" w:hAnsi="PMingLiU" w:cs="PMingLiU"/>
          <w:spacing w:val="8"/>
          <w:sz w:val="23"/>
          <w:szCs w:val="23"/>
        </w:rPr>
        <w:t>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Deepak Bhere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Pim van de Donk</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Victoria Leon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Naima Banouni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Reza Abdi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Arthur Hiller</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Glenn Prestwich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Hiroaki Wakimoto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Khalid Shah </w:t>
      </w:r>
      <w:r>
        <w:rPr>
          <w:rStyle w:val="any"/>
          <w:rFonts w:ascii="PMingLiU" w:eastAsia="PMingLiU" w:hAnsi="PMingLiU" w:cs="PMingLiU"/>
          <w:spacing w:val="8"/>
          <w:sz w:val="23"/>
          <w:szCs w:val="23"/>
        </w:rPr>
        <w:t>同意此撤回。出版商无法获得</w:t>
      </w:r>
      <w:r>
        <w:rPr>
          <w:rStyle w:val="any"/>
          <w:rFonts w:ascii="Times New Roman" w:eastAsia="Times New Roman" w:hAnsi="Times New Roman" w:cs="Times New Roman"/>
          <w:spacing w:val="8"/>
          <w:sz w:val="23"/>
          <w:szCs w:val="23"/>
        </w:rPr>
        <w:t xml:space="preserve"> David Hope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Jasneet Khalsa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Esther Revai Lechtich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Hongbin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Walid Ibn Essayed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Pablo Valdes Quevedo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Gerhard Bauer </w:t>
      </w:r>
      <w:r>
        <w:rPr>
          <w:rStyle w:val="any"/>
          <w:rFonts w:ascii="PMingLiU" w:eastAsia="PMingLiU" w:hAnsi="PMingLiU" w:cs="PMingLiU"/>
          <w:spacing w:val="8"/>
          <w:sz w:val="23"/>
          <w:szCs w:val="23"/>
        </w:rPr>
        <w:t>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11.Cing?z, A. et al. Generation of TRAIL-resistant cell line models reveals distinct adaptive mechanisms for acquired resistance and re-sensitization. Oncogene 40, 3201–3216 (2021).</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0242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1846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1&amp;sn=931e9b5c50b637fd222234bc0ab17af0&amp;chksm=cfe41a1c24f6f7bf1a9894159f5254744920d6b702c1aff53ab09600cfd005b8571b7ada54c9&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