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突发！该知名期刊累计撤稿超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200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篇文章，大部分为中国学者参与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诚信探索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2025-04-01 16:16:49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上海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aps w:val="0"/>
          <w:spacing w:val="8"/>
          <w:sz w:val="23"/>
          <w:szCs w:val="23"/>
        </w:rPr>
        <w:t>International Wound Journal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 是一本专注于伤口护理及相关领域研究的国际性学术期刊，涵盖了包括外科、皮肤病学、肿瘤学、护理学、放射治疗、物理治疗等与伤口预防、治疗及护理相关的多学科研究。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2024年最新影响因子为2.6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（2023年为3.5）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，在JCR外科领域排名Q1区，在伤口护理领域长期位列全球前五。据统计，期刊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aps w:val="0"/>
          <w:spacing w:val="8"/>
          <w:sz w:val="23"/>
          <w:szCs w:val="23"/>
        </w:rPr>
        <w:t>International Wound Journal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在2024年最新发文量为461篇，研究类文章占比83.73%，综述较少。</w:t>
      </w:r>
    </w:p>
    <w:p>
      <w:pPr>
        <w:widowControl/>
        <w:shd w:val="clear" w:color="auto" w:fill="FFFFFF"/>
        <w:spacing w:before="0" w:after="240" w:line="446" w:lineRule="atLeast"/>
        <w:ind w:left="420" w:right="42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296025" cy="7167924"/>
            <wp:docPr id="100001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806717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96025" cy="7167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截至2025年4月1日，据诚信科研编辑部不完全统计，该期刊累计撤稿超200篇文章，主要原因多为同行评审过程受损，部分原因包括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过多自我引用且不同文章间文本重叠，其中，中国学者撤稿率高达87%。</w:t>
      </w:r>
    </w:p>
    <w:p>
      <w:pPr>
        <w:widowControl/>
        <w:shd w:val="clear" w:color="auto" w:fill="FFFFFF"/>
        <w:spacing w:before="0" w:after="360" w:line="408" w:lineRule="atLeast"/>
        <w:ind w:left="420" w:right="42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296025" cy="9525"/>
            <wp:docPr id="100002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24086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96025" cy="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IwNzc3MzU3NQ==&amp;mid=2247484373&amp;idx=1&amp;sn=38424c6d8487b0e80cc4c5fbfe75c4d3&amp;chksm=96c04e9255cea03032d1816a9e02eaa43a0d80385c5a2789c3849ea4b78deba04943bbf52a2f&amp;scene=126&amp;sessionid=1743498049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styles" Target="styles.xml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