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没有患者数据所有权，北京天坛医院骨科</w:t>
        </w:r>
        <w:r>
          <w:rPr>
            <w:rStyle w:val="a"/>
            <w:rFonts w:ascii="Times New Roman" w:eastAsia="Times New Roman" w:hAnsi="Times New Roman" w:cs="Times New Roman"/>
            <w:b w:val="0"/>
            <w:bCs w:val="0"/>
            <w:spacing w:val="8"/>
          </w:rPr>
          <w:t>Int Orthop</w:t>
        </w:r>
        <w:r>
          <w:rPr>
            <w:rStyle w:val="a"/>
            <w:rFonts w:ascii="PMingLiU" w:eastAsia="PMingLiU" w:hAnsi="PMingLiU" w:cs="PMingLiU"/>
            <w:b w:val="0"/>
            <w:bCs w:val="0"/>
            <w:spacing w:val="8"/>
          </w:rPr>
          <w:t>论文作者主动撤回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09:30:52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813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8155"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没有患者数据所有权，</w:t>
            </w:r>
            <w:r>
              <w:rPr>
                <w:rStyle w:val="any"/>
                <w:rFonts w:ascii="PMingLiU" w:eastAsia="PMingLiU" w:hAnsi="PMingLiU" w:cs="PMingLiU"/>
                <w:b/>
                <w:bCs/>
                <w:i w:val="0"/>
                <w:iCs w:val="0"/>
                <w:caps w:val="0"/>
                <w:smallCaps w:val="0"/>
                <w:color w:val="111111"/>
                <w:spacing w:val="8"/>
                <w:sz w:val="28"/>
                <w:szCs w:val="28"/>
              </w:rPr>
              <w:t>北京天坛医院骨科</w:t>
            </w:r>
            <w:r>
              <w:rPr>
                <w:rStyle w:val="any"/>
                <w:b/>
                <w:bCs/>
                <w:i w:val="0"/>
                <w:iCs w:val="0"/>
                <w:caps w:val="0"/>
                <w:smallCaps w:val="0"/>
                <w:color w:val="000000"/>
                <w:spacing w:val="8"/>
                <w:sz w:val="28"/>
                <w:szCs w:val="28"/>
              </w:rPr>
              <w:t>Int Orthop</w:t>
            </w:r>
            <w:r>
              <w:rPr>
                <w:rStyle w:val="any"/>
                <w:rFonts w:ascii="宋体" w:eastAsia="宋体" w:hAnsi="宋体" w:cs="宋体"/>
                <w:b/>
                <w:bCs/>
                <w:i w:val="0"/>
                <w:iCs w:val="0"/>
                <w:caps w:val="0"/>
                <w:smallCaps w:val="0"/>
                <w:color w:val="000000"/>
                <w:spacing w:val="8"/>
                <w:sz w:val="28"/>
                <w:szCs w:val="28"/>
              </w:rPr>
              <w:t>论文作者主动撤回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111111"/>
                <w:spacing w:val="8"/>
                <w:kern w:val="36"/>
                <w:sz w:val="21"/>
                <w:szCs w:val="21"/>
              </w:rPr>
              <w:t>Impact of congenital spinal stenosis on the outcome of three-level anterior cervical discectomy and fusion in patients with cervical spondylotic myelopathy: a retrospective study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先天性椎管狭窄对脊髓型颈椎病三节段前路椎间盘切除融合术疗效影响的回顾性研究</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目的：探讨先天性颈椎管狭窄症（</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）是否影响脊髓型颈椎病（</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）患者三级颈椎前路椎间盘切除融合术（</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）的疗效。方法：对</w:t>
            </w:r>
            <w:r>
              <w:rPr>
                <w:rStyle w:val="any"/>
                <w:rFonts w:ascii="Tahoma" w:eastAsia="Tahoma" w:hAnsi="Tahoma" w:cs="Tahoma"/>
                <w:b w:val="0"/>
                <w:bCs w:val="0"/>
                <w:i w:val="0"/>
                <w:iCs w:val="0"/>
                <w:caps w:val="0"/>
                <w:smallCaps w:val="0"/>
                <w:color w:val="111111"/>
                <w:spacing w:val="8"/>
                <w:sz w:val="21"/>
                <w:szCs w:val="21"/>
              </w:rPr>
              <w:t>2019</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月至</w:t>
            </w:r>
            <w:r>
              <w:rPr>
                <w:rStyle w:val="any"/>
                <w:rFonts w:ascii="Tahoma" w:eastAsia="Tahoma" w:hAnsi="Tahoma" w:cs="Tahoma"/>
                <w:b w:val="0"/>
                <w:bCs w:val="0"/>
                <w:i w:val="0"/>
                <w:iCs w:val="0"/>
                <w:caps w:val="0"/>
                <w:smallCaps w:val="0"/>
                <w:color w:val="111111"/>
                <w:spacing w:val="8"/>
                <w:sz w:val="21"/>
                <w:szCs w:val="21"/>
              </w:rPr>
              <w:t>2023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月期间接受三级</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治疗的</w:t>
            </w:r>
            <w:r>
              <w:rPr>
                <w:rStyle w:val="any"/>
                <w:rFonts w:ascii="Tahoma" w:eastAsia="Tahoma" w:hAnsi="Tahoma" w:cs="Tahoma"/>
                <w:b w:val="0"/>
                <w:bCs w:val="0"/>
                <w:i w:val="0"/>
                <w:iCs w:val="0"/>
                <w:caps w:val="0"/>
                <w:smallCaps w:val="0"/>
                <w:color w:val="111111"/>
                <w:spacing w:val="8"/>
                <w:sz w:val="21"/>
                <w:szCs w:val="21"/>
              </w:rPr>
              <w:t>117</w:t>
            </w:r>
            <w:r>
              <w:rPr>
                <w:rStyle w:val="any"/>
                <w:rFonts w:ascii="PMingLiU" w:eastAsia="PMingLiU" w:hAnsi="PMingLiU" w:cs="PMingLiU"/>
                <w:b w:val="0"/>
                <w:bCs w:val="0"/>
                <w:i w:val="0"/>
                <w:iCs w:val="0"/>
                <w:caps w:val="0"/>
                <w:smallCaps w:val="0"/>
                <w:color w:val="111111"/>
                <w:spacing w:val="8"/>
                <w:sz w:val="21"/>
                <w:szCs w:val="21"/>
              </w:rPr>
              <w:t>例</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患者进行回顾性检查。根据</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的存在对患者进行分组，</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的定义为巴甫洛夫比值</w:t>
            </w:r>
            <w:r>
              <w:rPr>
                <w:rStyle w:val="any"/>
                <w:rFonts w:ascii="Tahoma" w:eastAsia="Tahoma" w:hAnsi="Tahoma" w:cs="Tahoma"/>
                <w:b w:val="0"/>
                <w:bCs w:val="0"/>
                <w:i w:val="0"/>
                <w:iCs w:val="0"/>
                <w:caps w:val="0"/>
                <w:smallCaps w:val="0"/>
                <w:color w:val="111111"/>
                <w:spacing w:val="8"/>
                <w:sz w:val="21"/>
                <w:szCs w:val="21"/>
              </w:rPr>
              <w:t>≤0.75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组和非</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组分别有</w:t>
            </w:r>
            <w:r>
              <w:rPr>
                <w:rStyle w:val="any"/>
                <w:rFonts w:ascii="Tahoma" w:eastAsia="Tahoma" w:hAnsi="Tahoma" w:cs="Tahoma"/>
                <w:b w:val="0"/>
                <w:bCs w:val="0"/>
                <w:i w:val="0"/>
                <w:iCs w:val="0"/>
                <w:caps w:val="0"/>
                <w:smallCaps w:val="0"/>
                <w:color w:val="111111"/>
                <w:spacing w:val="8"/>
                <w:sz w:val="21"/>
                <w:szCs w:val="21"/>
              </w:rPr>
              <w:t>68</w:t>
            </w:r>
            <w:r>
              <w:rPr>
                <w:rStyle w:val="any"/>
                <w:rFonts w:ascii="PMingLiU" w:eastAsia="PMingLiU" w:hAnsi="PMingLiU" w:cs="PMingLiU"/>
                <w:b w:val="0"/>
                <w:bCs w:val="0"/>
                <w:i w:val="0"/>
                <w:iCs w:val="0"/>
                <w:caps w:val="0"/>
                <w:smallCaps w:val="0"/>
                <w:color w:val="111111"/>
                <w:spacing w:val="8"/>
                <w:sz w:val="21"/>
                <w:szCs w:val="21"/>
              </w:rPr>
              <w:t>名（</w:t>
            </w:r>
            <w:r>
              <w:rPr>
                <w:rStyle w:val="any"/>
                <w:rFonts w:ascii="Tahoma" w:eastAsia="Tahoma" w:hAnsi="Tahoma" w:cs="Tahoma"/>
                <w:b w:val="0"/>
                <w:bCs w:val="0"/>
                <w:i w:val="0"/>
                <w:iCs w:val="0"/>
                <w:caps w:val="0"/>
                <w:smallCaps w:val="0"/>
                <w:color w:val="111111"/>
                <w:spacing w:val="8"/>
                <w:sz w:val="21"/>
                <w:szCs w:val="21"/>
              </w:rPr>
              <w:t>58.1%</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49</w:t>
            </w:r>
            <w:r>
              <w:rPr>
                <w:rStyle w:val="any"/>
                <w:rFonts w:ascii="PMingLiU" w:eastAsia="PMingLiU" w:hAnsi="PMingLiU" w:cs="PMingLiU"/>
                <w:b w:val="0"/>
                <w:bCs w:val="0"/>
                <w:i w:val="0"/>
                <w:iCs w:val="0"/>
                <w:caps w:val="0"/>
                <w:smallCaps w:val="0"/>
                <w:color w:val="111111"/>
                <w:spacing w:val="8"/>
                <w:sz w:val="21"/>
                <w:szCs w:val="21"/>
              </w:rPr>
              <w:t>名（</w:t>
            </w:r>
            <w:r>
              <w:rPr>
                <w:rStyle w:val="any"/>
                <w:rFonts w:ascii="Tahoma" w:eastAsia="Tahoma" w:hAnsi="Tahoma" w:cs="Tahoma"/>
                <w:b w:val="0"/>
                <w:bCs w:val="0"/>
                <w:i w:val="0"/>
                <w:iCs w:val="0"/>
                <w:caps w:val="0"/>
                <w:smallCaps w:val="0"/>
                <w:color w:val="111111"/>
                <w:spacing w:val="8"/>
                <w:sz w:val="21"/>
                <w:szCs w:val="21"/>
              </w:rPr>
              <w:t>41.9%</w:t>
            </w:r>
            <w:r>
              <w:rPr>
                <w:rStyle w:val="any"/>
                <w:rFonts w:ascii="PMingLiU" w:eastAsia="PMingLiU" w:hAnsi="PMingLiU" w:cs="PMingLiU"/>
                <w:b w:val="0"/>
                <w:bCs w:val="0"/>
                <w:i w:val="0"/>
                <w:iCs w:val="0"/>
                <w:caps w:val="0"/>
                <w:smallCaps w:val="0"/>
                <w:color w:val="111111"/>
                <w:spacing w:val="8"/>
                <w:sz w:val="21"/>
                <w:szCs w:val="21"/>
              </w:rPr>
              <w:t>）患者。结果：两组在术后任何时间点的日本骨科协会（</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）评分均无显著差异（</w:t>
            </w:r>
            <w:r>
              <w:rPr>
                <w:rStyle w:val="any"/>
                <w:rFonts w:ascii="Tahoma" w:eastAsia="Tahoma" w:hAnsi="Tahoma" w:cs="Tahoma"/>
                <w:b w:val="0"/>
                <w:bCs w:val="0"/>
                <w:i w:val="0"/>
                <w:iCs w:val="0"/>
                <w:caps w:val="0"/>
                <w:smallCaps w:val="0"/>
                <w:color w:val="111111"/>
                <w:spacing w:val="8"/>
                <w:sz w:val="21"/>
                <w:szCs w:val="21"/>
              </w:rPr>
              <w:t>p&gt;0.05</w:t>
            </w:r>
            <w:r>
              <w:rPr>
                <w:rStyle w:val="any"/>
                <w:rFonts w:ascii="PMingLiU" w:eastAsia="PMingLiU" w:hAnsi="PMingLiU" w:cs="PMingLiU"/>
                <w:b w:val="0"/>
                <w:bCs w:val="0"/>
                <w:i w:val="0"/>
                <w:iCs w:val="0"/>
                <w:caps w:val="0"/>
                <w:smallCaps w:val="0"/>
                <w:color w:val="111111"/>
                <w:spacing w:val="8"/>
                <w:sz w:val="21"/>
                <w:szCs w:val="21"/>
              </w:rPr>
              <w:t>）。术后</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个月，</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组的</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改善率较低（</w:t>
            </w:r>
            <w:r>
              <w:rPr>
                <w:rStyle w:val="any"/>
                <w:rFonts w:ascii="Tahoma" w:eastAsia="Tahoma" w:hAnsi="Tahoma" w:cs="Tahoma"/>
                <w:b w:val="0"/>
                <w:bCs w:val="0"/>
                <w:i w:val="0"/>
                <w:iCs w:val="0"/>
                <w:caps w:val="0"/>
                <w:smallCaps w:val="0"/>
                <w:color w:val="111111"/>
                <w:spacing w:val="8"/>
                <w:sz w:val="21"/>
                <w:szCs w:val="21"/>
              </w:rPr>
              <w:t>41.7%</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45.5%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），但一个月后的任何随访时间点均无差异。多变量逻辑回归确定术前年龄（</w:t>
            </w:r>
            <w:r>
              <w:rPr>
                <w:rStyle w:val="any"/>
                <w:rFonts w:ascii="Tahoma" w:eastAsia="Tahoma" w:hAnsi="Tahoma" w:cs="Tahoma"/>
                <w:b w:val="0"/>
                <w:bCs w:val="0"/>
                <w:i w:val="0"/>
                <w:iCs w:val="0"/>
                <w:caps w:val="0"/>
                <w:smallCaps w:val="0"/>
                <w:color w:val="111111"/>
                <w:spacing w:val="8"/>
                <w:sz w:val="21"/>
                <w:szCs w:val="21"/>
              </w:rPr>
              <w:t>OR=10.639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w:t>
            </w:r>
            <w:r>
              <w:rPr>
                <w:rStyle w:val="any"/>
                <w:rFonts w:ascii="Tahoma" w:eastAsia="Tahoma" w:hAnsi="Tahoma" w:cs="Tahoma"/>
                <w:b w:val="0"/>
                <w:bCs w:val="0"/>
                <w:i w:val="0"/>
                <w:iCs w:val="0"/>
                <w:caps w:val="0"/>
                <w:smallCaps w:val="0"/>
                <w:color w:val="111111"/>
                <w:spacing w:val="8"/>
                <w:sz w:val="21"/>
                <w:szCs w:val="21"/>
              </w:rPr>
              <w:t>OR=0.370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T2</w:t>
            </w:r>
            <w:r>
              <w:rPr>
                <w:rStyle w:val="any"/>
                <w:rFonts w:ascii="PMingLiU" w:eastAsia="PMingLiU" w:hAnsi="PMingLiU" w:cs="PMingLiU"/>
                <w:b w:val="0"/>
                <w:bCs w:val="0"/>
                <w:i w:val="0"/>
                <w:iCs w:val="0"/>
                <w:caps w:val="0"/>
                <w:smallCaps w:val="0"/>
                <w:color w:val="111111"/>
                <w:spacing w:val="8"/>
                <w:sz w:val="21"/>
                <w:szCs w:val="21"/>
              </w:rPr>
              <w:t>加权</w:t>
            </w:r>
            <w:r>
              <w:rPr>
                <w:rStyle w:val="any"/>
                <w:rFonts w:ascii="Tahoma" w:eastAsia="Tahoma" w:hAnsi="Tahoma" w:cs="Tahoma"/>
                <w:b w:val="0"/>
                <w:bCs w:val="0"/>
                <w:i w:val="0"/>
                <w:iCs w:val="0"/>
                <w:caps w:val="0"/>
                <w:smallCaps w:val="0"/>
                <w:color w:val="111111"/>
                <w:spacing w:val="8"/>
                <w:sz w:val="21"/>
                <w:szCs w:val="21"/>
              </w:rPr>
              <w:t>MRI</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T2-WI</w:t>
            </w:r>
            <w:r>
              <w:rPr>
                <w:rStyle w:val="any"/>
                <w:rFonts w:ascii="PMingLiU" w:eastAsia="PMingLiU" w:hAnsi="PMingLiU" w:cs="PMingLiU"/>
                <w:b w:val="0"/>
                <w:bCs w:val="0"/>
                <w:i w:val="0"/>
                <w:iCs w:val="0"/>
                <w:caps w:val="0"/>
                <w:smallCaps w:val="0"/>
                <w:color w:val="111111"/>
                <w:spacing w:val="8"/>
                <w:sz w:val="21"/>
                <w:szCs w:val="21"/>
              </w:rPr>
              <w:t>）脊髓信号强度（</w:t>
            </w:r>
            <w:r>
              <w:rPr>
                <w:rStyle w:val="any"/>
                <w:rFonts w:ascii="Tahoma" w:eastAsia="Tahoma" w:hAnsi="Tahoma" w:cs="Tahoma"/>
                <w:b w:val="0"/>
                <w:bCs w:val="0"/>
                <w:i w:val="0"/>
                <w:iCs w:val="0"/>
                <w:caps w:val="0"/>
                <w:smallCaps w:val="0"/>
                <w:color w:val="111111"/>
                <w:spacing w:val="8"/>
                <w:sz w:val="21"/>
                <w:szCs w:val="21"/>
              </w:rPr>
              <w:t>ISI</w:t>
            </w:r>
            <w:r>
              <w:rPr>
                <w:rStyle w:val="any"/>
                <w:rFonts w:ascii="PMingLiU" w:eastAsia="PMingLiU" w:hAnsi="PMingLiU" w:cs="PMingLiU"/>
                <w:b w:val="0"/>
                <w:bCs w:val="0"/>
                <w:i w:val="0"/>
                <w:iCs w:val="0"/>
                <w:caps w:val="0"/>
                <w:smallCaps w:val="0"/>
                <w:color w:val="111111"/>
                <w:spacing w:val="8"/>
                <w:sz w:val="21"/>
                <w:szCs w:val="21"/>
              </w:rPr>
              <w:t>）增加（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级：</w:t>
            </w:r>
            <w:r>
              <w:rPr>
                <w:rStyle w:val="any"/>
                <w:rFonts w:ascii="Tahoma" w:eastAsia="Tahoma" w:hAnsi="Tahoma" w:cs="Tahoma"/>
                <w:b w:val="0"/>
                <w:bCs w:val="0"/>
                <w:i w:val="0"/>
                <w:iCs w:val="0"/>
                <w:caps w:val="0"/>
                <w:smallCaps w:val="0"/>
                <w:color w:val="111111"/>
                <w:spacing w:val="8"/>
                <w:sz w:val="21"/>
                <w:szCs w:val="21"/>
              </w:rPr>
              <w:t>OR=6.135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级：</w:t>
            </w:r>
            <w:r>
              <w:rPr>
                <w:rStyle w:val="any"/>
                <w:rFonts w:ascii="Tahoma" w:eastAsia="Tahoma" w:hAnsi="Tahoma" w:cs="Tahoma"/>
                <w:b w:val="0"/>
                <w:bCs w:val="0"/>
                <w:i w:val="0"/>
                <w:iCs w:val="0"/>
                <w:caps w:val="0"/>
                <w:smallCaps w:val="0"/>
                <w:color w:val="111111"/>
                <w:spacing w:val="8"/>
                <w:sz w:val="21"/>
                <w:szCs w:val="21"/>
              </w:rPr>
              <w:t>OR=29.892</w:t>
            </w:r>
            <w:r>
              <w:rPr>
                <w:rStyle w:val="any"/>
                <w:rFonts w:ascii="PMingLiU" w:eastAsia="PMingLiU" w:hAnsi="PMingLiU" w:cs="PMingLiU"/>
                <w:b w:val="0"/>
                <w:bCs w:val="0"/>
                <w:i w:val="0"/>
                <w:iCs w:val="0"/>
                <w:caps w:val="0"/>
                <w:smallCaps w:val="0"/>
                <w:color w:val="111111"/>
                <w:spacing w:val="8"/>
                <w:sz w:val="21"/>
                <w:szCs w:val="21"/>
              </w:rPr>
              <w:t>）和脊髓压迫程度（</w:t>
            </w:r>
            <w:r>
              <w:rPr>
                <w:rStyle w:val="any"/>
                <w:rFonts w:ascii="Tahoma" w:eastAsia="Tahoma" w:hAnsi="Tahoma" w:cs="Tahoma"/>
                <w:b w:val="0"/>
                <w:bCs w:val="0"/>
                <w:i w:val="0"/>
                <w:iCs w:val="0"/>
                <w:caps w:val="0"/>
                <w:smallCaps w:val="0"/>
                <w:color w:val="111111"/>
                <w:spacing w:val="8"/>
                <w:sz w:val="21"/>
                <w:szCs w:val="21"/>
              </w:rPr>
              <w:t>30-60%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OR=17.919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≥60%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OR=46.624</w:t>
            </w:r>
            <w:r>
              <w:rPr>
                <w:rStyle w:val="any"/>
                <w:rFonts w:ascii="PMingLiU" w:eastAsia="PMingLiU" w:hAnsi="PMingLiU" w:cs="PMingLiU"/>
                <w:b w:val="0"/>
                <w:bCs w:val="0"/>
                <w:i w:val="0"/>
                <w:iCs w:val="0"/>
                <w:caps w:val="0"/>
                <w:smallCaps w:val="0"/>
                <w:color w:val="111111"/>
                <w:spacing w:val="8"/>
                <w:sz w:val="21"/>
                <w:szCs w:val="21"/>
              </w:rPr>
              <w:t>）是不良一年预后（</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恢复率</w:t>
            </w:r>
            <w:r>
              <w:rPr>
                <w:rStyle w:val="any"/>
                <w:rFonts w:ascii="Tahoma" w:eastAsia="Tahoma" w:hAnsi="Tahoma" w:cs="Tahoma"/>
                <w:b w:val="0"/>
                <w:bCs w:val="0"/>
                <w:i w:val="0"/>
                <w:iCs w:val="0"/>
                <w:caps w:val="0"/>
                <w:smallCaps w:val="0"/>
                <w:color w:val="111111"/>
                <w:spacing w:val="8"/>
                <w:sz w:val="21"/>
                <w:szCs w:val="21"/>
              </w:rPr>
              <w:t>&lt;50%</w:t>
            </w:r>
            <w:r>
              <w:rPr>
                <w:rStyle w:val="any"/>
                <w:rFonts w:ascii="PMingLiU" w:eastAsia="PMingLiU" w:hAnsi="PMingLiU" w:cs="PMingLiU"/>
                <w:b w:val="0"/>
                <w:bCs w:val="0"/>
                <w:i w:val="0"/>
                <w:iCs w:val="0"/>
                <w:caps w:val="0"/>
                <w:smallCaps w:val="0"/>
                <w:color w:val="111111"/>
                <w:spacing w:val="8"/>
                <w:sz w:val="21"/>
                <w:szCs w:val="21"/>
              </w:rPr>
              <w:t>）的独立预测因素。结论：虽然</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组早期</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改善较慢，但不影响</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年后的最终神经改善。因此，</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不应被视为</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患者三级</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的禁忌症。影响一年预后的主要因素是术前年龄、</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w:t>
            </w:r>
            <w:r>
              <w:rPr>
                <w:rStyle w:val="any"/>
                <w:rFonts w:ascii="Tahoma" w:eastAsia="Tahoma" w:hAnsi="Tahoma" w:cs="Tahoma"/>
                <w:b w:val="0"/>
                <w:bCs w:val="0"/>
                <w:i w:val="0"/>
                <w:iCs w:val="0"/>
                <w:caps w:val="0"/>
                <w:smallCaps w:val="0"/>
                <w:color w:val="111111"/>
                <w:spacing w:val="8"/>
                <w:sz w:val="21"/>
                <w:szCs w:val="21"/>
              </w:rPr>
              <w:t>ISI</w:t>
            </w:r>
            <w:r>
              <w:rPr>
                <w:rStyle w:val="any"/>
                <w:rFonts w:ascii="PMingLiU" w:eastAsia="PMingLiU" w:hAnsi="PMingLiU" w:cs="PMingLiU"/>
                <w:b w:val="0"/>
                <w:bCs w:val="0"/>
                <w:i w:val="0"/>
                <w:iCs w:val="0"/>
                <w:caps w:val="0"/>
                <w:smallCaps w:val="0"/>
                <w:color w:val="111111"/>
                <w:spacing w:val="8"/>
                <w:sz w:val="21"/>
                <w:szCs w:val="21"/>
              </w:rPr>
              <w:t>分级和脊髓压迫程度。</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北京市丰台区南四环路</w:t>
            </w:r>
            <w:r>
              <w:rPr>
                <w:rStyle w:val="any"/>
                <w:rFonts w:ascii="Tahoma" w:eastAsia="Tahoma" w:hAnsi="Tahoma" w:cs="Tahoma"/>
                <w:b w:val="0"/>
                <w:bCs w:val="0"/>
                <w:i w:val="0"/>
                <w:iCs w:val="0"/>
                <w:caps w:val="0"/>
                <w:smallCaps w:val="0"/>
                <w:color w:val="111111"/>
                <w:spacing w:val="8"/>
                <w:sz w:val="21"/>
                <w:szCs w:val="21"/>
              </w:rPr>
              <w:t>119</w:t>
            </w:r>
            <w:r>
              <w:rPr>
                <w:rStyle w:val="any"/>
                <w:rFonts w:ascii="PMingLiU" w:eastAsia="PMingLiU" w:hAnsi="PMingLiU" w:cs="PMingLiU"/>
                <w:b w:val="0"/>
                <w:bCs w:val="0"/>
                <w:i w:val="0"/>
                <w:iCs w:val="0"/>
                <w:caps w:val="0"/>
                <w:smallCaps w:val="0"/>
                <w:color w:val="111111"/>
                <w:spacing w:val="8"/>
                <w:sz w:val="21"/>
                <w:szCs w:val="21"/>
              </w:rPr>
              <w:t>号首都医科大学北京天坛医院骨科，邮编</w:t>
            </w:r>
            <w:r>
              <w:rPr>
                <w:rStyle w:val="any"/>
                <w:rFonts w:ascii="Tahoma" w:eastAsia="Tahoma" w:hAnsi="Tahoma" w:cs="Tahoma"/>
                <w:b w:val="0"/>
                <w:bCs w:val="0"/>
                <w:i w:val="0"/>
                <w:iCs w:val="0"/>
                <w:caps w:val="0"/>
                <w:smallCaps w:val="0"/>
                <w:color w:val="111111"/>
                <w:spacing w:val="8"/>
                <w:sz w:val="21"/>
                <w:szCs w:val="21"/>
              </w:rPr>
              <w:t>100070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北京市丰台区南四环路</w:t>
            </w:r>
            <w:r>
              <w:rPr>
                <w:rStyle w:val="any"/>
                <w:rFonts w:ascii="Tahoma" w:eastAsia="Tahoma" w:hAnsi="Tahoma" w:cs="Tahoma"/>
                <w:b w:val="0"/>
                <w:bCs w:val="0"/>
                <w:i w:val="0"/>
                <w:iCs w:val="0"/>
                <w:caps w:val="0"/>
                <w:smallCaps w:val="0"/>
                <w:color w:val="111111"/>
                <w:spacing w:val="8"/>
                <w:sz w:val="21"/>
                <w:szCs w:val="21"/>
              </w:rPr>
              <w:t>119</w:t>
            </w:r>
            <w:r>
              <w:rPr>
                <w:rStyle w:val="any"/>
                <w:rFonts w:ascii="PMingLiU" w:eastAsia="PMingLiU" w:hAnsi="PMingLiU" w:cs="PMingLiU"/>
                <w:b w:val="0"/>
                <w:bCs w:val="0"/>
                <w:i w:val="0"/>
                <w:iCs w:val="0"/>
                <w:caps w:val="0"/>
                <w:smallCaps w:val="0"/>
                <w:color w:val="111111"/>
                <w:spacing w:val="8"/>
                <w:sz w:val="21"/>
                <w:szCs w:val="21"/>
              </w:rPr>
              <w:t>号首都医科大学北京天坛医院骨科，邮编</w:t>
            </w:r>
            <w:r>
              <w:rPr>
                <w:rStyle w:val="any"/>
                <w:rFonts w:ascii="Tahoma" w:eastAsia="Tahoma" w:hAnsi="Tahoma" w:cs="Tahoma"/>
                <w:b w:val="0"/>
                <w:bCs w:val="0"/>
                <w:i w:val="0"/>
                <w:iCs w:val="0"/>
                <w:caps w:val="0"/>
                <w:smallCaps w:val="0"/>
                <w:color w:val="111111"/>
                <w:spacing w:val="8"/>
                <w:sz w:val="21"/>
                <w:szCs w:val="21"/>
              </w:rPr>
              <w:t>100070</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Orthop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没有患者数据所有权，主动撤回</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主编撤回了这篇文章，因为作者表示他们对这里报告的患者数据没有所有权。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5303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73064" name=""/>
                          <pic:cNvPicPr>
                            <a:picLocks noChangeAspect="1"/>
                          </pic:cNvPicPr>
                        </pic:nvPicPr>
                        <pic:blipFill>
                          <a:blip xmlns:r="http://schemas.openxmlformats.org/officeDocument/2006/relationships" r:embed="rId7"/>
                          <a:stretch>
                            <a:fillRect/>
                          </a:stretch>
                        </pic:blipFill>
                        <pic:spPr>
                          <a:xfrm>
                            <a:off x="0" y="0"/>
                            <a:ext cx="3657695" cy="15303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415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61106" name=""/>
                          <pic:cNvPicPr>
                            <a:picLocks noChangeAspect="1"/>
                          </pic:cNvPicPr>
                        </pic:nvPicPr>
                        <pic:blipFill>
                          <a:blip xmlns:r="http://schemas.openxmlformats.org/officeDocument/2006/relationships" r:embed="rId8"/>
                          <a:stretch>
                            <a:fillRect/>
                          </a:stretch>
                        </pic:blipFill>
                        <pic:spPr>
                          <a:xfrm>
                            <a:off x="0" y="0"/>
                            <a:ext cx="3655791" cy="2041589"/>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9332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92525"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648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80&amp;idx=1&amp;sn=e06e7881aaaac2459d1f870066d83cff&amp;chksm=c02763818df42a6e584febbfcbe5a503f16915f7eae6913e650319d0321a200e955f7410b00a&amp;scene=126&amp;sessionid=1743441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