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某三甲医院口腔颌面外科：国自然资助论文因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7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处图片重复引发强烈质疑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10:48:41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2020年9月，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广西医科大学附属武鸣医院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广西医科大学口腔医学院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联合在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Cancer management and research（IF 2.5000 / 4区）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上在线发表了一篇论文。在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发表4年后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“LncRNA-IUR Sponges miR-24 to Upregulate P53 in Laryngeal Squamous Cell Carcinoma”。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第一作者：广西医科大学附属武鸣医院的Cen Wei， Huaqing Wei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通讯作者：广西医科大学口腔医学院的Xun Wu，广西医科大学附属武鸣医院的Guangyao Nong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该研究共受2项基金支持：中国口腔学会西医口腔临床研究基金项目（批准号：CSA-W2018-06），国家自然科学基金（批准号81360407）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1663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9034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6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5204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6851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561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8028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6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1198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7195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https://pubpeer.com/publications/3313D2A1657641477270D6386B0CE3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7213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6558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394&amp;idx=1&amp;sn=ec77d5a1622ab6a8c33227b30dfedaa4&amp;chksm=c2c305ea6e75664a43b3b0fe728cae2f3b7e24845e5658fd673e4c428b67eae631e0f0febbee&amp;scene=126&amp;sessionid=174344108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