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图像拉伸变新材料？山东大学信息科学与工程学院研究遭质疑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Alloys and Compounds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‘Study the relation between band gap value and lattice constant of MgTi2O4’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MgTi2O4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带隙值与晶格常数关系的研究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10.1016/j.jallcom.2019.02.261</w:t>
      </w:r>
      <w:r>
        <w:rPr>
          <w:rStyle w:val="any"/>
          <w:rFonts w:ascii="PMingLiU" w:eastAsia="PMingLiU" w:hAnsi="PMingLiU" w:cs="PMingLiU"/>
          <w:spacing w:val="8"/>
        </w:rPr>
        <w:t>）因图像问题引发质疑。该研究由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Yujun Shi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Jie Lian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Wei Hu , Yuxiang Liu , Ge He , Kui Jin , Haonan Song , Kai Dai , Jiaxiong Fang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山东大学信息科学与工程学院。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84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 MTO_1 (a)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(b)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(c)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扫描图像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09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）和（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）是相同的材料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0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9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https://pubpeer.com/publications/EF012AF3D57B3169932F839B0CBF57#0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24100" cy="3277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91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671887694725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3&amp;idx=1&amp;sn=11200bae6fccec3284c134c0e5d1c5ba&amp;chksm=c32d7ee3ceaed59d0150b12b6472a598ec6805d39dd04bd1ed6a6f3e483864f972eee1154caf&amp;scene=126&amp;sessionid=17434869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