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强强联合却恐步撤稿后尘？上海市第七人民医院与溧阳市中医医院肾病科合作研究遭质疑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Natural Medicines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‘Berberine protects HK-2 cells from hypoxia/reoxygenation induced apoptosis via inhibiting SPHK1 expression’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小檗碱通过抑制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SPHK1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表达保护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HK-2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复氧诱导的凋亡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10.1007/s11418-017-1152-z</w:t>
      </w:r>
      <w:r>
        <w:rPr>
          <w:rStyle w:val="any"/>
          <w:rFonts w:ascii="PMingLiU" w:eastAsia="PMingLiU" w:hAnsi="PMingLiU" w:cs="PMingLiU"/>
          <w:spacing w:val="8"/>
        </w:rPr>
        <w:t>）因图像问题引发关注。该研究由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（通讯作者，科主任）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>, Yang Yi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（通讯作者，党委书记）</w:t>
      </w:r>
      <w:r>
        <w:rPr>
          <w:rStyle w:val="any"/>
          <w:rFonts w:ascii="Times New Roman" w:eastAsia="Times New Roman" w:hAnsi="Times New Roman" w:cs="Times New Roman"/>
          <w:spacing w:val="8"/>
        </w:rPr>
        <w:t>, Chuanfu Zhang , Haiyan Han , Jie Chen , Wenrui Liu</w:t>
      </w:r>
      <w:r>
        <w:rPr>
          <w:rStyle w:val="any"/>
          <w:rFonts w:ascii="PMingLiU" w:eastAsia="PMingLiU" w:hAnsi="PMingLiU" w:cs="PMingLiU"/>
          <w:spacing w:val="8"/>
        </w:rPr>
        <w:t>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上海中医药大学附属第七人民医院肾病科，通讯作者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溧阳市中医医院肾病科。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7a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年研究《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CIP2A </w:t>
      </w:r>
      <w:r>
        <w:rPr>
          <w:rStyle w:val="any"/>
          <w:rFonts w:ascii="PMingLiU" w:eastAsia="PMingLiU" w:hAnsi="PMingLiU" w:cs="PMingLiU"/>
          <w:spacing w:val="8"/>
        </w:rPr>
        <w:t>作为一种癌蛋白，在喉癌细胞增殖、侵袭和迁移中发挥作用》（已撤稿）的图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9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6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https://pubpeer.com/publications/3A87E2D23566600287E2E5BF517936#0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市第七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上海市第七人民医院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2&amp;sn=3a6799b38d9fe6be406a9f6e84268b21&amp;chksm=c3d420d5c007db80ea4a610da66949c54f15f5f76a561a7a7fe5504ea9ad76240e657a6d6e0b&amp;scene=126&amp;sessionid=1743442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378086674450024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