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宁波大学基础医学院二级教授郭俊明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28;116(5):626-633.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10.1038/bjc.2016.451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：显示不同细胞系样本的蛋白质印迹之间出乎意料的相似性。我添加了彩色矩形来显示我的意思。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556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谢谢你的评论。我们将核实数字，并尽快给出答案。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Junming Guo.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https://pubmed.ncbi.nlm.nih.gov/28081541/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387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郭俊明，宁波大学医学部基础医学院，二级教授，医学博士，博导。生物化学与分子生物学系主任、宁波大学消化疾病研究所副所长、宁波市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消化系统恶性肿瘤诊治新技术科研创新团队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负责人。浙江省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151</w:t>
      </w:r>
      <w:r>
        <w:rPr>
          <w:rStyle w:val="any"/>
          <w:rFonts w:ascii="PMingLiU" w:eastAsia="PMingLiU" w:hAnsi="PMingLiU" w:cs="PMingLiU"/>
          <w:spacing w:val="8"/>
        </w:rPr>
        <w:t>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第一层次和重点资助人才。近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年入选爱思唯尔中国高被引学者、近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年入选斯坦福大学全球前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2%</w:t>
      </w:r>
      <w:r>
        <w:rPr>
          <w:rStyle w:val="any"/>
          <w:rFonts w:ascii="PMingLiU" w:eastAsia="PMingLiU" w:hAnsi="PMingLiU" w:cs="PMingLiU"/>
          <w:spacing w:val="8"/>
        </w:rPr>
        <w:t>顶尖科学家榜单。曾获宁波大学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教学名师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等称号。先后发表论文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篇。出版专著和教材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部，如《人体基因学》（主编，浙江科技出版社，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年）等。主讲国家双语教学示范课程《生物化学与分子生物学》。近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年获得的奖项和荣誉主要有：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年浙江省科技奖三等奖（排名第一）；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年浙江省医药卫生科技创新奖一等奖（排名第一）；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年度浙江省高校科研成果奖一等奖（排名第一）；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年宁波市高校教学成果奖一等奖（排名第一）；荣获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年宁波大学最受学生欢迎的教授（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年度宁波大学荣华学者奖励计划一级奖等。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3&amp;sn=f4ceceb7c4186d848777617aac9ad7bc&amp;chksm=c33d23a48e179d7066b50950c7b5f7378f41dfa0b803c38c8f762864d38a4ce9edbb530bb0e7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