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74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4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02cd24c76599cab126876ecbac63fe377846b4b6a1a668812dea2aa90a6268641710f1e1b3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