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45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97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69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28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2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8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81269f36347065ba2e4bf3a80d0fe0497411a09d2ddd8047d1cc75c9a414630ee7c89d9fb5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