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09:03:36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578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33&amp;idx=2&amp;sn=20bce63061c25a13add6dde6578a213b&amp;chksm=cec9a3d47f7d4f8a1f88ba3d5b6fb442a0356e0a945b87c147708c41269c90db3c6cc0f8e550&amp;scene=126&amp;sessionid=174344174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