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63480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6305"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450745"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18043"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50523"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35316"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780755f168f886fcb7200c58eff82a3cbf24b4b7cc6c13355ab63b3342611111d38c92bc37&amp;scene=126&amp;sessionid=174344178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