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因蛋白质印迹数据及作者身份存疑，厦门大学中山医院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Ke S&amp;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厦门大学的论文被撤稿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2025-03-28 15:30:57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Gold nanoparticles enhance TRAIL sensitivity through Drp1-mediated apoptotic and autophagic mitochondrial fission in NSCLC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Nanomedicine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厦门大学中山医院&amp;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厦门大学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发表时间：2017年3月31日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10.2147/IJN.S129274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撤稿原因：蛋白质印迹（Western blot）数据的完整性被质疑，作者无法提供原始数据；该文章作者身份存在疑虑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5306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1102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本研究得到了中国国家自然科学基金（31271071、31371012和U1505228）以及福建省医学创新计划（2014-CXB-39）的资金支持。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4F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WB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条带与早期发表无关论文（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2015, doi: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10.18632/oncotarget.2795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4A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的重叠，且描述不同。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93046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5848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3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137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78180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1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自文章发表以来，第三方对文章中蛋白质印迹（Western blot）数据的完整性提出了质疑。当我们向作者寻求解释时，他们无法提供原始数据，并要求撤回该文章。此外，期刊编辑部还了解到有关该文章作者身份的疑虑，但无法对这些疑虑进行核实。当我们联系作者以进一步澄清时，他们未予回应。本文的通讯作者已被告知撤回事宜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https://www.dovepress.com/gold-nanoparticles-enhance-trail-sensitivity-through-drp1-mediated-apo-peer-reviewed-fulltext-article-IJN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943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3336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8309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076&amp;idx=2&amp;sn=e3f3c7ad93ae50b43d3740370111ddd5&amp;chksm=c28b9e9ec73ab3be30b7090bf8f24139b07f6f0463d8998c95f296e1b85da04f563320e7ddfa&amp;scene=126&amp;sessionid=17434409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