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南通市第一人民医院介入科研究受疑，科研规范待审视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19:06:50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5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近日，发表于《Translational Cancer Research》期刊的研究‘H19/miR-152-3p/TCF4 axis increases chemosensitivity of gastric cancer cells through suppression of epithelial-mesenchymal transition’ 因图像问题引发关注。该研究由Xiaodong Jiang , Wenbin Ding , Weiguang Shen , Jie Jin（通讯作者）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南通市第一人民医院（南通大学第二附属医院）介入科。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6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38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0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74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2023年9月评论人Hoya camphorifolia指出本文结果与其他研究图像重复：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40547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55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5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47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3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https://pubpeer.com/publications/058E6378281F899D759B7EB96B20FA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50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43&amp;idx=1&amp;sn=c682fa393f747493e4440d765ca6876a&amp;chksm=c31a52c6e2b42137cf827596174d1f98a792a0996f86a33490d0528c25db31c0b07a511775c1&amp;scene=126&amp;sessionid=1743441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