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上海市第三人民医院姜波健的论文被撤稿，存在不恰当的图像面板重复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>R2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Reviewer 2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2025-03-16 00:01:50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一</w:t>
      </w: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773609" cy="7736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076407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73609" cy="7736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450" w:right="300"/>
        <w:jc w:val="both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</w:rPr>
        <w:t>点击蓝字关注我们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  <w:shd w:val="clear" w:color="auto" w:fill="CB591B"/>
        </w:rPr>
        <w:drawing>
          <wp:inline>
            <wp:extent cx="951328" cy="951855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3225529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36" w:lineRule="atLeast"/>
        <w:ind w:left="300" w:right="300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" w:line="378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年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3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19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日，上海交通大学医学院附属上海市第三人民医院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Ji-wei Yu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第一作者）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 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&amp; 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Bo-jian Jiang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（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通讯作者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音译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C84D0C"/>
          <w:spacing w:val="9"/>
          <w:sz w:val="21"/>
          <w:szCs w:val="21"/>
        </w:rPr>
        <w:t>姜波健）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在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International Scholarly Research Notices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期刊上在线发表题为</w:t>
      </w:r>
      <w:r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  <w:t>"Study on the Biological Characteristics of CD133 (+) Cells Interfered by RNA Interference in Gastric Cancer"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(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通过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RNA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干扰研究胃癌中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 xml:space="preserve"> CD133 (+) 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细胞的生物学特征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)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15" w:right="315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本研究得到国家自然科学基金（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81101850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）、上海市卫生局基金（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2010018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）、上海市教育委员会基金（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jdy10022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）以及上海交通大学医学院研究基金（</w:t>
      </w:r>
      <w:r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  <w:t>YZ1055</w:t>
      </w:r>
      <w:r>
        <w:rPr>
          <w:rStyle w:val="any"/>
          <w:rFonts w:ascii="PMingLiU" w:eastAsia="PMingLiU" w:hAnsi="PMingLiU" w:cs="PMingLiU"/>
          <w:spacing w:val="9"/>
          <w:sz w:val="21"/>
          <w:szCs w:val="21"/>
        </w:rPr>
        <w:t>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210667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1397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2106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432" w:lineRule="atLeast"/>
        <w:ind w:left="315" w:right="315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spacing w:val="9"/>
          <w:u w:val="none"/>
        </w:rPr>
        <w:drawing>
          <wp:inline>
            <wp:extent cx="5486400" cy="5549462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2111063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54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378" w:lineRule="atLeast"/>
        <w:ind w:left="405" w:right="40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10056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378" w:lineRule="atLeast"/>
        <w:ind w:left="405" w:right="405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8"/>
          <w:sz w:val="21"/>
          <w:szCs w:val="21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1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05" w:right="405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不同实验标签下图像面板重复：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.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image duplication contradicts labels</w:t>
      </w: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8028878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486638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8028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numPr>
          <w:ilvl w:val="0"/>
          <w:numId w:val="2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642" w:right="390" w:hanging="196"/>
        <w:jc w:val="left"/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图8a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同一个对照条带的部分旋转后被用来代表两种不同的条件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。</w:t>
      </w:r>
    </w:p>
    <w:p>
      <w:pPr>
        <w:shd w:val="clear" w:color="auto" w:fill="FFFFFF"/>
        <w:spacing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Concern shown above from Figure 8a.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Portions of a control band have been used to represent two different conditions, with the last lane rotated 180° relative to each other. It is difficult to understand how this manipulation could occur by accident.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375" w:right="37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0" w:line="432" w:lineRule="atLeast"/>
        <w:ind w:left="375" w:right="375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</w:rPr>
        <w:drawing>
          <wp:inline>
            <wp:extent cx="5486400" cy="701207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238875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70120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numPr>
          <w:ilvl w:val="0"/>
          <w:numId w:val="3"/>
        </w:numPr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420" w:right="420" w:hanging="196"/>
        <w:jc w:val="left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9"/>
          <w:sz w:val="21"/>
          <w:szCs w:val="21"/>
        </w:rPr>
        <w:t>图7c中的两幅图像似乎重叠。</w:t>
      </w:r>
    </w:p>
    <w:p>
      <w:pPr>
        <w:shd w:val="clear" w:color="auto" w:fill="FFFFFF"/>
        <w:spacing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Two images in Figure 7c seem to overlap, but are described as representing different groups.</w:t>
      </w:r>
    </w:p>
    <w:p>
      <w:pPr>
        <w:shd w:val="clear" w:color="auto" w:fill="FFFFFF"/>
        <w:spacing w:before="0" w:after="0" w:line="378" w:lineRule="atLeast"/>
        <w:ind w:left="390" w:right="39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sz w:val="21"/>
          <w:szCs w:val="21"/>
          <w:u w:val="none"/>
        </w:rPr>
        <w:drawing>
          <wp:inline>
            <wp:extent cx="5486400" cy="2617967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83160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6179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78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</w:pPr>
    </w:p>
    <w:p>
      <w:pPr>
        <w:shd w:val="clear" w:color="auto" w:fill="FFFFFF"/>
        <w:spacing w:before="0" w:after="0" w:line="432" w:lineRule="atLeast"/>
        <w:ind w:left="450" w:right="45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9"/>
          <w:u w:val="none"/>
          <w:shd w:val="clear" w:color="auto" w:fill="CB591B"/>
        </w:rPr>
        <w:drawing>
          <wp:inline>
            <wp:extent cx="951328" cy="951855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129492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0" w:line="432" w:lineRule="atLeast"/>
        <w:ind w:left="450" w:right="450"/>
        <w:jc w:val="both"/>
        <w:rPr>
          <w:rStyle w:val="any"/>
          <w:rFonts w:ascii="Microsoft YaHei UI" w:eastAsia="Microsoft YaHei UI" w:hAnsi="Microsoft YaHei UI" w:cs="Microsoft YaHei UI"/>
          <w:color w:val="C84D0C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撤稿原因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本文已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于2025年2月27日</w:t>
      </w:r>
      <w:r>
        <w:rPr>
          <w:rStyle w:val="any"/>
          <w:rFonts w:ascii="Microsoft YaHei UI" w:eastAsia="Microsoft YaHei UI" w:hAnsi="Microsoft YaHei UI" w:cs="Microsoft YaHei UI"/>
          <w:b/>
          <w:bCs/>
          <w:color w:val="C84D0C"/>
          <w:spacing w:val="9"/>
          <w:sz w:val="21"/>
          <w:szCs w:val="21"/>
        </w:rPr>
        <w:t>被撤回：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color w:val="3E3E3E"/>
          <w:spacing w:val="9"/>
          <w:sz w:val="21"/>
          <w:szCs w:val="21"/>
        </w:rPr>
        <w:t>上述文章已被John Wiley and Sons Ltd撤回。此次撤回是基于对第三方提出的担忧进行调查后的决定，调查发现文章中存在不恰当的图像面板重复现象，这些重复的图像展示了不同的实验条件（图3c、7c、8a和9a）。因此，出版商对文章所呈现的数据失去了信心，并认为该手稿的结论受到了严重影响。作者及其所在机构已被告知这些担忧，但他们未作出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hd w:val="clear" w:color="auto" w:fill="FFFFFF"/>
        <w:spacing w:before="0" w:after="15" w:line="360" w:lineRule="atLeast"/>
        <w:ind w:left="465" w:right="465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450" w:right="45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15" w:line="432" w:lineRule="atLeast"/>
        <w:ind w:left="390" w:right="390"/>
        <w:rPr>
          <w:rStyle w:val="any"/>
          <w:rFonts w:ascii="Microsoft YaHei UI" w:eastAsia="Microsoft YaHei UI" w:hAnsi="Microsoft YaHei UI" w:cs="Microsoft YaHei UI"/>
          <w:color w:val="3E3E3E"/>
          <w:spacing w:val="9"/>
        </w:rPr>
      </w:pPr>
    </w:p>
    <w:p>
      <w:pPr>
        <w:spacing w:before="0" w:after="0" w:line="378" w:lineRule="atLeast"/>
        <w:ind w:left="315" w:right="315"/>
        <w:jc w:val="center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3E3E3E"/>
          <w:spacing w:val="9"/>
          <w:sz w:val="21"/>
          <w:szCs w:val="21"/>
          <w:u w:val="none"/>
          <w:shd w:val="clear" w:color="auto" w:fill="CB591B"/>
        </w:rPr>
        <w:drawing>
          <wp:inline>
            <wp:extent cx="951328" cy="951855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960896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951328" cy="951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78" w:lineRule="atLeast"/>
        <w:ind w:left="315" w:right="315"/>
        <w:jc w:val="both"/>
        <w:rPr>
          <w:rStyle w:val="any"/>
          <w:rFonts w:ascii="Times New Roman" w:eastAsia="Times New Roman" w:hAnsi="Times New Roman" w:cs="Times New Roman"/>
          <w:color w:val="C84D0C"/>
          <w:spacing w:val="9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color w:val="C84D0C"/>
          <w:spacing w:val="9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https://pubpeer.com/publications/815FF4C18425E8540A5E2AC0A2E38E#5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https://pubmed.ncbi.nlm.nih.gov/25006468/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  <w:t>https://onlinelibrary.wiley.com/doi/10.1155/isr3/9806262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color w:val="3E3E3E"/>
          <w:spacing w:val="9"/>
          <w:sz w:val="20"/>
          <w:szCs w:val="20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432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hybridMultilevel"/>
    <w:tmpl w:val="00000001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1">
    <w:nsid w:val="00000002"/>
    <w:multiLevelType w:val="hybridMultilevel"/>
    <w:tmpl w:val="00000002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abstractNum w:abstractNumId="2">
    <w:nsid w:val="00000003"/>
    <w:multiLevelType w:val="hybridMultilevel"/>
    <w:tmpl w:val="00000003"/>
    <w:lvl w:ilvl="0">
      <w:start w:val="1"/>
      <w:numFmt w:val="bullet"/>
      <w:lvlText w:val=""/>
      <w:lvlJc w:val="left"/>
      <w:pPr>
        <w:ind w:left="720" w:hanging="360"/>
      </w:pPr>
      <w:rPr>
        <w:rFonts w:ascii="Wingdings" w:hAnsi="Wingdings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  <w:style w:type="paragraph" w:customStyle="1" w:styleId="anyParagraph">
    <w:name w:val="any Paragraph"/>
    <w:basedOn w:val="Normal"/>
    <w:pPr>
      <w:p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pBdr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wMjY4ODQ5Mw==&amp;mid=2247496644&amp;idx=5&amp;sn=f8e3cae5a6280c97d828bace7fe3bb8e&amp;chksm=c1d3d6b4e59ca9bcd59905049546b7bc674c84cb3fb60d1df99b26390352522dd6b66b4d88f5&amp;scene=126&amp;sessionid=174335471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emf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