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 Tang&amp;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因图中图像高度相似及细胞系污染问题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3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20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重庆医科大学第二附属医院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Shaoying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Yan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 Tan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唐华）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Ailong 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黄爱龙）</w:t>
      </w:r>
      <w:r>
        <w:rPr>
          <w:rStyle w:val="any"/>
          <w:rFonts w:ascii="Times New Roman" w:eastAsia="Times New Roman" w:hAnsi="Times New Roman" w:cs="Times New Roman"/>
          <w:spacing w:val="9"/>
        </w:rPr>
        <w:t> 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Z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henron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g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</w:t>
      </w:r>
      <w:r>
        <w:rPr>
          <w:rStyle w:val="any"/>
          <w:rFonts w:ascii="Times New Roman" w:eastAsia="Times New Roman" w:hAnsi="Times New Roman" w:cs="Times New Roman"/>
          <w:spacing w:val="9"/>
        </w:rPr>
        <w:t>f Experimental &amp; Clinical Cancer Research</w:t>
      </w:r>
      <w:r>
        <w:rPr>
          <w:rStyle w:val="any"/>
          <w:rFonts w:ascii="PMingLiU" w:eastAsia="PMingLiU" w:hAnsi="PMingLiU" w:cs="PMingLiU"/>
          <w:spacing w:val="9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oding RNA MIR31HG inhibits hepatocellular carcinoma proliferation and metastasis by sponging microRNA-575 to modulate ST7L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 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MIR31HG </w:t>
      </w:r>
      <w:r>
        <w:rPr>
          <w:rStyle w:val="any"/>
          <w:rFonts w:ascii="PMingLiU" w:eastAsia="PMingLiU" w:hAnsi="PMingLiU" w:cs="PMingLiU"/>
          <w:spacing w:val="9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microRNA-575 </w:t>
      </w:r>
      <w:r>
        <w:rPr>
          <w:rStyle w:val="any"/>
          <w:rFonts w:ascii="PMingLiU" w:eastAsia="PMingLiU" w:hAnsi="PMingLiU" w:cs="PMingLiU"/>
          <w:spacing w:val="9"/>
        </w:rPr>
        <w:t>调节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ST7L </w:t>
      </w:r>
      <w:r>
        <w:rPr>
          <w:rStyle w:val="any"/>
          <w:rFonts w:ascii="PMingLiU" w:eastAsia="PMingLiU" w:hAnsi="PMingLiU" w:cs="PMingLiU"/>
          <w:spacing w:val="9"/>
        </w:rPr>
        <w:t>的表达，抑制肝细胞癌的增殖和转移</w:t>
      </w:r>
      <w:r>
        <w:rPr>
          <w:rStyle w:val="any"/>
          <w:rFonts w:ascii="Times New Roman" w:eastAsia="Times New Roman" w:hAnsi="Times New Roman" w:cs="Times New Roman"/>
          <w:spacing w:val="9"/>
        </w:rPr>
        <w:t>)</w:t>
      </w:r>
      <w:r>
        <w:rPr>
          <w:rStyle w:val="any"/>
          <w:rFonts w:ascii="PMingLiU" w:eastAsia="PMingLiU" w:hAnsi="PMingLiU" w:cs="PMingLiU"/>
          <w:spacing w:val="9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本研究得到了重庆医科大学优秀研究生培养计划（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BJRC201706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30771924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3383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51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87149"/>
            <wp:docPr id="100004" name="" descr="重庆医科大学附属第二医院 - 标杆案例 - 熙软科技-专注医疗机构运营管理数字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75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1900"/>
            <wp:docPr id="100005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68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18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4g,h和图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d,e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6d,e.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below] Fig 3B from "lncRNA XIST promotes the progression of laryngeal squamous cell carcinoma by sponging miR?144 to regulate IRS1 expression" (Cui et al 2020)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24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2d,e与无关论文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is also an opportunity to alert the present authors to the subsequent acquisition of their images in "miR-654-5p Targets HAX-1 to Regulate the Malignancy Behaviors of Colorectal Cancer Cells" (Huang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1e from Huang et al; from [right] the present Fig 2d/e.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636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1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Fig 3d from Huang et al; from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the present Fig 2d.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0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09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1d, 3c与无关论文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1d, 3c from Huang et 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9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64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386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0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4h与无关论文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appropriation.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 Fig 3B from "Long noncoding RNA OIP5-AS1 promotes the progression of oral squamous cell carcinoma via regulating miR-338-3p/NRP1 axis" (Li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4h, flipped through 180 deg for ease of comparison.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216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96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6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总编辑已撤回本文。文章发表后，有人对图中高度相似的图像提出质疑，具体如下：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图4g中的SMMC7721 pre-NC图像似乎与图6d中的SMMC7721 sh-MIR31HG+anti-miR-575图像重叠；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图4h中的SMMC7721 pre-NC图像似乎与图6e中的SMMC7721 pcDNA3.1-MIR31HG+pre-miR-575图像重叠。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作者核查了数据，发现图2c中SMMC7721 pcDNA3.1-MIR31HG和sh-MIR31HG 0h的图像相同，且图2c中HepG2 pcDNA3.1-MIR31HG 36h的图像和图4f中HepG2 anti-NC 0h的图像来自同一样本。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出版商进一步核查还发现，图6e中可能存在错误，即HepG2 sh-MIR31HG+anti-miR-575和pcDNA3.1+pre-NC的图像似乎来自同一样本。作者请求发布勘误，并提供了原始图像文件和细胞系鉴定文件。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然而，本研究中体外和体内实验所用细胞系的STR分型结果显示，SMMC7721和L-02细胞系被HeLa宫颈癌细胞污染，因此它们不适合作为肝癌模型。这在一定程度上削弱了文章的主要结论，这些结论专门针对肝细胞癌。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因此，总编辑不再相信本文所呈现的数据和结论。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Shaoying Yan和Hua Tang 不同意撤回本文。其他作者均未对出版商关于撤回本文的任何函件作出回应。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49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https://pubmed.ncbi.nlm.nih.gov/30176933/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https://jeccr.biomedcentral.com/articles/10.1186/s13046-018-0853-9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5&amp;sn=d04ea4bf1f269af00e4463bc9409b902&amp;chksm=c15c9b90e91fde260d04648be78db9180d3f9ce6ceea953efe635fe2ca0e5f630345d3ddeeca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