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花莲慈济医院某研究团队所发文章被质疑发生图片重叠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439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12 月 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花莲慈济医院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Lee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YuanChieh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Protective effects of low-molecular-weight components of adipose stem cell-derived conditioned medium on dry eye syndrome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96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50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>4C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：不同实验组中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DAPI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染色之间意外的相似性。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605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76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https://pubpeer.com/publications/8AC4FF6288BB6AF2F0BF86365D8FBA#1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2&amp;idx=1&amp;sn=aadeb04f5b5f1071c81b08da4a556226&amp;chksm=c3049f81e6cae9e9a2d0a153b9152cfe3f691e987766ddb746c993928825f8c9819d6e8a26fd&amp;scene=126&amp;sessionid=17433546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