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国立台湾大学某研究团队所发文章被质疑发生图片重叠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09:17:32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63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 年 10 月 25 日，国立台湾大学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ChinJu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Insights into phenotypic differences between humans and mice with p.T721M and other C-terminal variants of the SLC26A4 gene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99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/>
          <w:bCs/>
          <w:color w:val="333333"/>
          <w:spacing w:val="0"/>
          <w:sz w:val="23"/>
          <w:szCs w:val="23"/>
        </w:rPr>
        <w:t xml:space="preserve"> 3C</w:t>
      </w:r>
      <w:r>
        <w:rPr>
          <w:rStyle w:val="any"/>
          <w:rFonts w:ascii="Arial" w:eastAsia="Arial" w:hAnsi="Arial" w:cs="Arial"/>
          <w:color w:val="333333"/>
          <w:spacing w:val="0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color w:val="333333"/>
          <w:spacing w:val="0"/>
          <w:sz w:val="23"/>
          <w:szCs w:val="23"/>
        </w:rPr>
        <w:t>：有重复的图像。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11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73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https://pubpeer.com/publications/884F8E57BB8435C2E2BB95F54013FF#1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560&amp;idx=1&amp;sn=25e95c3fb85a3410cec2da6143bc9e5e&amp;chksm=c36263de77a601dfc84c66fafe7a177a2386720acc7e41f1f972adcda0a970863b33197eb5a6&amp;scene=126&amp;sessionid=17433546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