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4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处面板重叠，重庆医科大学及其附属第一医院、儿童医院的论文被质疑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33024272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12:38:27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3355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1098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967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重庆医科大学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重庆医科大学附属儿童医院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重庆医科大学附属第一医院在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British Journal of Cancer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IF=6.4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Long noncoding RNA HOTAIR regulates the invasion and metastasis of prostate cancer by targeting hepaCAM"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长非编码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RNA HOTAIR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hepaCAM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调节前列腺癌的侵袭和转移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重庆医科大学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Ting Li,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重庆医科大学附属儿童医院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Nanjing Liu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重庆医科大学附属第一医院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Xiaohou Wu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重庆医科大学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hunli Luo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br/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81272572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10982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0097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0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429000"/>
            <wp:docPr id="100005" name="" descr="重庆医科大学介绍-掌上高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490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57825" cy="40862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7949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505450" cy="3819525"/>
            <wp:docPr id="100007" name="" descr="重庆医科大学附属第(一)医院整形科价格表全新抢先看-城市惠整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6252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810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3, 5, and 6: Unexpected overlapping areas between figures.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613005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0222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3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https://pubpeer.com/publications/346DC18039F0CFAE6BC7EE5B653A35#1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https://pubmed.ncbi.nlm.nih.gov/33024272/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5282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9022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8795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945&amp;idx=4&amp;sn=b96c36647e5a0e3f1cf6c5e5ca3dff8e&amp;chksm=c32478d579119a2b5f3e2840ee7a4deb6aa771837412cd917030d804eef015e5bdd2c6e3ae11&amp;scene=126&amp;sessionid=17433538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