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首都医科大学附属北京天坛医院的文章被撤回，主要原因是文章不拥有患者数据的所有权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15:46:01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探讨先天性颈椎管狭窄症 （CCSS） 是否影响脊髓型颈椎病 （CSM） 患者三节段颈椎前路椎间盘切除术和融合术 （ACDF） 的结局。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9 月 13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首都医科大学附属北京天坛医院的 Liu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Yibo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International orthopaedics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Impact of congenital spinal stenosis on the outcome of three-level anterior cervical discectomy and fusion in patients with cervical spondylotic myelopathy: a retrospective study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该研究结果表明，虽然 CCSS 组的早期 JOA 改善较慢，但不会影响 1 年时的最终神经功能改善。因此，CCSS 不应被视为 CSM 患者三级 ACDF 的禁忌症。影响 1 年结局的主要因素是术前年龄、 JOA 评分、 ISI 分级和脊髓压迫程度。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26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不拥有患者数据的所有权。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36780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71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3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主编已撤回本文，因为作者表示他们不拥有此处报告的患者数据的所有权。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所有作者都同意此撤回。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https://link.springer.com/article/10.1007/s00264-025-06504-5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73&amp;idx=2&amp;sn=173f215e56cf5b45ff1fa3c7de4a0207&amp;chksm=c206507745be1916e2091d5cf5432238123fdb1c93335f3c2f6f96f9fc10edb8d0491be8ec14&amp;scene=126&amp;sessionid=17433554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