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多处图像数据与其他论文图像相似！中国医科大学附属盛京医院论文遭质疑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10:32:21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Management and Research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"USP13 serves as a tumor suppressor via the PTEN/AKT pathway in oral squamous cell carcinoma“USP13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通路在口腔鳞状细胞癌中发挥肿瘤抑制作用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10.2147/CMAR.S186829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存在多处图像与其他论文相似的问题。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该论文由来自中国医科大学附属盛京医院口腔颌面外科，锦州医科大学第二附属医院修复科的作者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Zhi Qu , Ran Zhang , Meng Su , Weixian Liu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Weixian Liu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（中国医科大学附属盛京医院口腔颌面外科）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87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16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“ARHGAP25 </w:t>
      </w:r>
      <w:r>
        <w:rPr>
          <w:rStyle w:val="any"/>
          <w:rFonts w:ascii="PMingLiU" w:eastAsia="PMingLiU" w:hAnsi="PMingLiU" w:cs="PMingLiU"/>
          <w:spacing w:val="8"/>
        </w:rPr>
        <w:t>在肺癌细胞中的肿瘤抑制作用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徐等人，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00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14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经过水平翻转和轻微重新缩放后，加载控制带惊人地相似。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626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08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电针通过抑制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Nogo/NgR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Rho/ROCK </w:t>
      </w:r>
      <w:r>
        <w:rPr>
          <w:rStyle w:val="any"/>
          <w:rFonts w:ascii="PMingLiU" w:eastAsia="PMingLiU" w:hAnsi="PMingLiU" w:cs="PMingLiU"/>
          <w:spacing w:val="8"/>
        </w:rPr>
        <w:t>信号通路促进脊髓损伤大鼠轴突再生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83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7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“TRIM65 </w:t>
      </w:r>
      <w:r>
        <w:rPr>
          <w:rStyle w:val="any"/>
          <w:rFonts w:ascii="PMingLiU" w:eastAsia="PMingLiU" w:hAnsi="PMingLiU" w:cs="PMingLiU"/>
          <w:spacing w:val="8"/>
        </w:rPr>
        <w:t>是一种通过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Jurkat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Raji </w:t>
      </w:r>
      <w:r>
        <w:rPr>
          <w:rStyle w:val="any"/>
          <w:rFonts w:ascii="PMingLiU" w:eastAsia="PMingLiU" w:hAnsi="PMingLiU" w:cs="PMingLiU"/>
          <w:spacing w:val="8"/>
        </w:rPr>
        <w:t>细胞中起作用的潜在致癌蛋白：人类淋巴瘤恶性肿瘤的治疗靶点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 </w:t>
      </w:r>
      <w:r>
        <w:rPr>
          <w:rStyle w:val="any"/>
          <w:rFonts w:ascii="PMingLiU" w:eastAsia="PMingLiU" w:hAnsi="PMingLiU" w:cs="PMingLiU"/>
          <w:spacing w:val="8"/>
        </w:rPr>
        <w:t>为方便起见，已水平翻转。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39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87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*[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](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“STK39, overexpressed in bonesarcoma, restricts bonesarcoma cell assault online and contamination” ( Huang et al 2017 )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- </w:t>
      </w:r>
      <w:r>
        <w:rPr>
          <w:rStyle w:val="any"/>
          <w:rFonts w:ascii="PMingLiU" w:eastAsia="PMingLiU" w:hAnsi="PMingLiU" w:cs="PMingLiU"/>
          <w:spacing w:val="8"/>
        </w:rPr>
        <w:t>水平翻转并水平拉伸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125%</w:t>
      </w:r>
      <w:r>
        <w:rPr>
          <w:rStyle w:val="any"/>
          <w:rFonts w:ascii="PMingLiU" w:eastAsia="PMingLiU" w:hAnsi="PMingLiU" w:cs="PMingLiU"/>
          <w:spacing w:val="8"/>
        </w:rPr>
        <w:t>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55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6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大黄素通过</w:t>
      </w:r>
      <w:r>
        <w:rPr>
          <w:rStyle w:val="any"/>
          <w:rFonts w:ascii="Times New Roman" w:eastAsia="Times New Roman" w:hAnsi="Times New Roman" w:cs="Times New Roman"/>
          <w:spacing w:val="8"/>
        </w:rPr>
        <w:t>TGF-β1/Smad</w:t>
      </w:r>
      <w:r>
        <w:rPr>
          <w:rStyle w:val="any"/>
          <w:rFonts w:ascii="PMingLiU" w:eastAsia="PMingLiU" w:hAnsi="PMingLiU" w:cs="PMingLiU"/>
          <w:spacing w:val="8"/>
        </w:rPr>
        <w:t>信号通路改善大鼠肾脏纤维化及</w:t>
      </w:r>
      <w:r>
        <w:rPr>
          <w:rStyle w:val="any"/>
          <w:rFonts w:ascii="Times New Roman" w:eastAsia="Times New Roman" w:hAnsi="Times New Roman" w:cs="Times New Roman"/>
          <w:spacing w:val="8"/>
        </w:rPr>
        <w:t>Smurf 2</w:t>
      </w:r>
      <w:r>
        <w:rPr>
          <w:rStyle w:val="any"/>
          <w:rFonts w:ascii="PMingLiU" w:eastAsia="PMingLiU" w:hAnsi="PMingLiU" w:cs="PMingLiU"/>
          <w:spacing w:val="8"/>
        </w:rPr>
        <w:t>的功能研究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Ma et al 2018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133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9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https://pmc.ncbi.nlm.nih.gov/articles/PMC6829296/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https://pubpeer.com/publications/1EE335DBC5E635537799FB66417CAF#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59406884025090054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47&amp;idx=1&amp;sn=1807aab1e4eae08f40f16b1c41e566b0&amp;chksm=c22c64261b318407f003df2af5c9b6c5a06bf7c98d29cad026fd9218277f7abce64ef2f507d6&amp;scene=126&amp;sessionid=17433538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