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江苏省人民医院论文现图片重复争议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10:22:10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2016年8月，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江苏省人民医院(南京医科大学第一附属医院)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Therapy（IF 2.7/ 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上在线发表了一篇论文。在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发表8年后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“MiR-200c promotes bladder cancer cell migration and invasion by directly targeting RECK”。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第一作者：南京医科大学第一附属医院的Yidong Cheng , Xiaolei Zhang , Peng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通讯作者：南京医科大学第一附属医院的Qiang Lu , Pengchao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该研究共受2项基金支持：国家自然科学基金（批准号81201997和81272832）；江苏省高等学校重点学科建设项目，江苏省医学科学专项（BL2012027）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078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159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86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09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7985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325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https://pubpeer.com/publications/A8D6B01B74B2D82DD042EC87776A13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37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4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440&amp;idx=1&amp;sn=12ef3030208c953fbd307163cdbe936f&amp;chksm=c2755a83e94ce46c4d2703119749966b9dbf4b699b91850aa24971e408b41a9eebd9a9bfe824&amp;scene=126&amp;sessionid=174338885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