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与早先发表图片重复，涉及第三方？山东大学附属齐鲁医院骨科论文被质疑！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11:12:41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山东大学附属齐鲁医院骨科在期刊</w:t>
      </w:r>
      <w:r>
        <w:rPr>
          <w:rStyle w:val="any"/>
          <w:color w:val="000000"/>
          <w:spacing w:val="8"/>
          <w:lang w:val="en-US" w:eastAsia="en-US"/>
        </w:rPr>
        <w:t>Drug Design, Development and Therapy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上发表一篇研究论文，研究发现了白藜芦醇通过激活</w:t>
      </w:r>
      <w:r>
        <w:rPr>
          <w:rStyle w:val="any"/>
          <w:color w:val="000000"/>
          <w:spacing w:val="8"/>
          <w:lang w:val="en-US" w:eastAsia="en-US"/>
        </w:rPr>
        <w:t>AMP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活化蛋白激酶保护成骨细胞免受地塞米松诱导的细胞毒性。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Resveratrol Protects Osteoblasts Against Dexamethasone-Induced Cytotoxicity Through Activation of AMP-Activated Protein Kinase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Liang Wang , Qiushi Li , Haibo Yan , Guangjun Jiao , Hongliang Wang , Hai Chi , Hongming Zhou , Lu Chen , Yu Shan , Yunzhen Chen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（通讯作者，音译，陈云震）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山东大学附属齐鲁医院骨科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00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054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本文中的两个</w:t>
      </w:r>
      <w:r>
        <w:rPr>
          <w:rStyle w:val="any"/>
          <w:spacing w:val="8"/>
          <w:lang w:val="en-US" w:eastAsia="en-US"/>
        </w:rPr>
        <w:t>FACS</w:t>
      </w:r>
      <w:r>
        <w:rPr>
          <w:rStyle w:val="any"/>
          <w:rFonts w:ascii="PMingLiU" w:eastAsia="PMingLiU" w:hAnsi="PMingLiU" w:cs="PMingLiU"/>
          <w:spacing w:val="8"/>
        </w:rPr>
        <w:t>图似乎与另一篇论文中的图相同，但我没有看到共同的作者或隶属关系。令人担忧的是，后一篇论文中的情节分辨率高于前一篇论文，这表明可能涉及一个共同的第三方。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1D, Drug Design, Development and Therapy (2020), doi: 10.2147/dddt.s266502, discussed here: 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2A, Oncology Letters (2018), doi: 10.3892/ol.2018.8486, discussed here: https://pubpeer.com/publications/438100E7087A891E84E5C05D643608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3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https://www.pubpeer.org/publications/F0F0569320AA144D53689ED08B38F7#1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80&amp;idx=1&amp;sn=49021cb8accf913a92fe70475c04bf7e&amp;chksm=c14f28a06e7af6e7beb41595695acb04643a88f37e5bbf57174d2dbd751ef63e1daeb685e4b6&amp;scene=126&amp;sessionid=17433551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