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国家杰青加持的研究，居然栽在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？北京大学基础医学院曾任党委书记陷学术争议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‘The transcription factor c-Fos coordinates with histone lysine-specific demethylase 2A to activate the expression of cyclooxygenase-2’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转录因子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c-Fos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协同组蛋白去甲基化酶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激活环氧合酶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10.18632/oncotarget.5474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Shaoli Lu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Yang Yang</w:t>
      </w:r>
      <w:r>
        <w:rPr>
          <w:rStyle w:val="any"/>
          <w:rFonts w:ascii="PMingLiU" w:eastAsia="PMingLiU" w:hAnsi="PMingLiU" w:cs="PMingLiU"/>
          <w:spacing w:val="8"/>
        </w:rPr>
        <w:t>（共一兼通讯）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Yipeng Du , Lin-lin Cao , Meiting Li , Changchun Shen , Tianyun Hou , Ying Zhao , Haiying Wang , Dajun Deng , Lina Wang , Qihua He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Wei-Guo Zhu</w:t>
      </w:r>
      <w:r>
        <w:rPr>
          <w:rStyle w:val="any"/>
          <w:rFonts w:ascii="PMingLiU" w:eastAsia="PMingLiU" w:hAnsi="PMingLiU" w:cs="PMingLiU"/>
          <w:spacing w:val="8"/>
        </w:rPr>
        <w:t>（通讯作者，国家杰青、曾任医学部基础医学院党委书记）共同完成，通讯单位为</w:t>
      </w:r>
      <w:r>
        <w:rPr>
          <w:rStyle w:val="any"/>
          <w:rFonts w:ascii="PMingLiU" w:eastAsia="PMingLiU" w:hAnsi="PMingLiU" w:cs="PMingLiU"/>
          <w:spacing w:val="8"/>
        </w:rPr>
        <w:t>北京大学医学部恶性肿瘤发病机理及转化研究教育部重点实验室。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9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Cherokia georgiana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05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https://pubpeer.com/publications/56D3E6DE32280313FAB0509C11F30C#0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297&amp;idx=1&amp;sn=20da9cece2606b6bf7454c2942a2516f&amp;chksm=c333254c4cf6341108d75b62859b4e12b05283fdb30b3bc3eaff13872091fa03e79fbd84557e&amp;scene=126&amp;sessionid=17433889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9472526703974809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