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高分论文将撤稿，上海交通大学附属第六人民医院肿瘤内科主任沈赞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28;39(1):23.doi: 10.1186/s13046-019-1504-5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Involvement of FAK-ERK2 signaling pathway in CKAP2-induced proliferation and motility in cervical carcinoma cell lines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SOX12 by shRNA suppresses migration, invasion and proliferation of breast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Ding et al 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expression of concern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03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令人惊讶的是，垂直拉伸后的带状物相似。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87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CXCL13 Is Involved in the Lipopolysaccharide-Induced Hyperpermeability of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7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 interference against TRIM29 inhibits migration and invasion of colorectal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71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CXCL4/CXCR3 on the lipopolysaccharide‐induced injury in human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9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4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https://pubmed.ncbi.nlm.nih.gov/31992359/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29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沈赞，上海交通大学博士研究生导师，香港大学肿瘤学博士；上海交通大学附属第六人民医院肿瘤内科行政主任，主任医师，教授；中华医学会肿瘤支持康复治疗学组组长；中国医药教育协会疑难肿瘤专委会主任委员；上海医学会肿瘤分会副主任委员；上海抗癌协会传统医学专委会副主任委员；上海医师协会肿瘤分会常委兼秘书；国家卫计委骨软组织肿瘤合理化用药专家组常委兼秘书；中国宋庆龄基金会肿瘤产学研医联体常务副理事长。曾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MD Anderson </w:t>
      </w:r>
      <w:r>
        <w:rPr>
          <w:rStyle w:val="any"/>
          <w:rFonts w:ascii="PMingLiU" w:eastAsia="PMingLiU" w:hAnsi="PMingLiU" w:cs="PMingLiU"/>
          <w:spacing w:val="8"/>
        </w:rPr>
        <w:t>癌症中心进修。从事肿瘤专业临床工作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余年，擅长各种复杂性疑难病例的诊治，如肺癌、乳腺癌、前列腺癌、胃癌、肠癌、骨软组织肿瘤，常见恶性肿瘤复发转移及耐药的治疗，肿瘤免疫治疗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等。在学术期刊上发表论文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61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分。以第一作者或通讯作者在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BMJ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Letter </w:t>
      </w:r>
      <w:r>
        <w:rPr>
          <w:rStyle w:val="any"/>
          <w:rFonts w:ascii="PMingLiU" w:eastAsia="PMingLiU" w:hAnsi="PMingLiU" w:cs="PMingLiU"/>
          <w:spacing w:val="8"/>
        </w:rPr>
        <w:t>等杂志发表多篇论文。作为项目负责人，主持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国家重点研发专项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一项，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上海市浦江人才计划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上海市科委专项基金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各一项。获得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项国家专利，参加编写两部肿瘤学专著。并开展了国际先进的多项免疫治疗，靶向治疗及细胞治疗研究。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https://pubpeer.com/publications/6AA1C121EEE388DA7306BB57B57305#4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2&amp;sn=626693b4250cbb8d92e43a36153174b4&amp;chksm=c30e6ffd496b860c0baa5d99446e35a809a6ec0c578f3f0520372fc3b29022ec97f34e8d39af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