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重磅！浙江大学药学院求是特聘教授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2019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 Communications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2025-03-23 00:05:45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Nature Communications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 Jul 26;10(1):3349.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10.1038/s41467-019-11269-8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5a</w:t>
      </w:r>
      <w:r>
        <w:rPr>
          <w:rStyle w:val="any"/>
          <w:rFonts w:ascii="PMingLiU" w:eastAsia="PMingLiU" w:hAnsi="PMingLiU" w:cs="PMingLiU"/>
          <w:spacing w:val="8"/>
        </w:rPr>
        <w:t>：意外的重复老鼠，我添加了红色矩形来显示我的意思。请作者核实并发表意见？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8289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0374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https://pubmed.ncbi.nlm.nih.gov/31350406/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003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469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游剑，浙江大学药剂学博士，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求是特聘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教授，博士生导师。研究领域：药物制剂工程、药物高端制剂、药物临床转化。高端药物制剂基础与应用研究，探索药物制剂从基础研究到产业化的关键核心技术，尤其聚焦于脂质体、脂微球等纳米制剂的临床转化。在国内外重要刊物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</w:t>
      </w:r>
      <w:r>
        <w:rPr>
          <w:rStyle w:val="any"/>
          <w:rFonts w:ascii="PMingLiU" w:eastAsia="PMingLiU" w:hAnsi="PMingLiU" w:cs="PMingLiU"/>
          <w:spacing w:val="8"/>
        </w:rPr>
        <w:t>余篇。作为通讯作者，在包括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Nat Nanotechnol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 Adv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Nat Commun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Adv Sci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Acs nano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ACS Central Sci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 Control Release</w:t>
      </w:r>
      <w:r>
        <w:rPr>
          <w:rStyle w:val="any"/>
          <w:rFonts w:ascii="PMingLiU" w:eastAsia="PMingLiU" w:hAnsi="PMingLiU" w:cs="PMingLiU"/>
          <w:spacing w:val="8"/>
        </w:rPr>
        <w:t>等发表研究型论文，被他引用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4000</w:t>
      </w:r>
      <w:r>
        <w:rPr>
          <w:rStyle w:val="any"/>
          <w:rFonts w:ascii="PMingLiU" w:eastAsia="PMingLiU" w:hAnsi="PMingLiU" w:cs="PMingLiU"/>
          <w:spacing w:val="8"/>
        </w:rPr>
        <w:t>余次，单篇最高引用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600</w:t>
      </w:r>
      <w:r>
        <w:rPr>
          <w:rStyle w:val="any"/>
          <w:rFonts w:ascii="PMingLiU" w:eastAsia="PMingLiU" w:hAnsi="PMingLiU" w:cs="PMingLiU"/>
          <w:spacing w:val="8"/>
        </w:rPr>
        <w:t>余次。获中国发明专利授权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余项、申请两项国际发明专利，获教育部自然科学奖二等奖、浙江省科学技术奖一等奖两项，获中国药学会青年药剂学奖等。入选国家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万人计划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、科技部科技创新领军人才。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https://pubpeer.com/publications/B3D900FE6D2D4116FD0437D235EFC7#1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255&amp;idx=1&amp;sn=b760664d0ade58f6fd96bcdcb9713365&amp;chksm=c32c7544b426159e383016f3fb1ba0dac426d410660f704b1c861081edf622d541bf5b9920d8&amp;scene=126&amp;sessionid=174335554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