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8785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27983"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01328"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68438"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75706"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0abb1cbf460819f1143104af413c92b020ad97b85ecef520f78995781e6815d8f54d681f4b&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