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苏州大学附属第一医院呼吸与危重症医学科主任研究被指存在问题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急先锋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先锋科研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08:29:51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点击上方蓝字关注先锋科研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82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9"/>
          <w:sz w:val="23"/>
          <w:szCs w:val="23"/>
          <w:u w:val="none"/>
        </w:rPr>
        <w:drawing>
          <wp:inline>
            <wp:extent cx="342801" cy="30905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5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801" cy="30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文</w:t>
      </w:r>
      <w:r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  <w:t xml:space="preserve"> | 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急先锋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60" w:lineRule="atLeast"/>
        <w:ind w:left="435" w:right="435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论文信息</w:t>
      </w: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近日，发表于《Molecular Medicine Reports》期刊的研究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‘Knockdown of ubiquitin?specific protease 51 attenuates cisplatin resistance in lung cancer through ubiquitination of zinc?finger E?box binding homeobox 1’ 因图像问题引发关注。该研究由Feng Zhou , Chunling Du , Donghui Xu , Jinchang Lu , Lei Zhou , Chaomin Wu , Bo Wu ,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Jianan Huang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（通讯作者，科主任）共同完成，通讯单位为苏州大学附属第一医院呼吸与危重症医学科。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6922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884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820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45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02" w:after="552" w:line="384" w:lineRule="atLeast"/>
        <w:ind w:left="435" w:right="435" w:firstLine="0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质疑信息</w:t>
      </w:r>
    </w:p>
    <w:p>
      <w:pP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2025年3月评论人Hoya camphorifolia指出：</w:t>
      </w:r>
    </w:p>
    <w:p>
      <w:pPr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520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96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5F5F5F"/>
          <w:spacing w:val="8"/>
          <w:sz w:val="20"/>
          <w:szCs w:val="20"/>
        </w:rPr>
        <w:t>参考链接：</w:t>
      </w:r>
    </w:p>
    <w:p>
      <w:pPr>
        <w:spacing w:before="0" w:after="0" w:line="48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https://www.pubpeer.com/publications/5EBBED83DDC6B435EC77E62DC5FFD3</w:t>
      </w:r>
    </w:p>
    <w:p>
      <w:pPr>
        <w:shd w:val="clear" w:color="auto" w:fill="FFFFFF"/>
        <w:spacing w:before="0" w:after="150" w:line="480" w:lineRule="atLeast"/>
        <w:ind w:left="570" w:right="570" w:firstLine="0"/>
        <w:jc w:val="center"/>
        <w:rPr>
          <w:rStyle w:val="any"/>
          <w:rFonts w:ascii="Microsoft YaHei UI" w:eastAsia="Microsoft YaHei UI" w:hAnsi="Microsoft YaHei UI" w:cs="Microsoft YaHei UI"/>
          <w:color w:val="3E75B2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75B2"/>
          <w:spacing w:val="9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15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6A6A6A"/>
          <w:spacing w:val="9"/>
          <w:sz w:val="21"/>
          <w:szCs w:val="21"/>
          <w:u w:val="none"/>
        </w:rPr>
        <w:drawing>
          <wp:inline>
            <wp:extent cx="1247775" cy="12382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10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CFEFF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E075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3E75B2"/>
        <w:spacing w:before="0" w:after="0" w:line="480" w:lineRule="atLeast"/>
        <w:ind w:left="1035" w:right="1035" w:firstLine="0"/>
        <w:rPr>
          <w:rStyle w:val="any"/>
          <w:rFonts w:ascii="Microsoft YaHei UI" w:eastAsia="Microsoft YaHei UI" w:hAnsi="Microsoft YaHei UI" w:cs="Microsoft YaHei UI"/>
          <w:color w:val="FFFF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z w:val="18"/>
          <w:szCs w:val="18"/>
        </w:rPr>
        <w:t>免责申明</w:t>
      </w:r>
    </w:p>
    <w:p>
      <w:pPr>
        <w:shd w:val="clear" w:color="auto" w:fill="FCFEFF"/>
        <w:spacing w:before="0" w:after="0" w:line="420" w:lineRule="atLeast"/>
        <w:ind w:left="810" w:right="108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315" w:lineRule="atLeast"/>
        <w:ind w:left="930" w:right="93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18"/>
          <w:szCs w:val="18"/>
        </w:rPr>
        <w:t>本文中的所有信息均源自学术网站及已公开资料。我们虽努力确保信息的准确性与完整性，但无法对此做出绝对保证。若发现任何纰漏或不实之处，请及时联系公众号后台，以便进行更正或删除。</w:t>
      </w:r>
    </w:p>
    <w:p>
      <w:pPr>
        <w:shd w:val="clear" w:color="auto" w:fill="FCFEFF"/>
        <w:spacing w:before="0" w:after="0" w:line="36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193E69"/>
          <w:spacing w:val="9"/>
          <w:sz w:val="18"/>
          <w:szCs w:val="18"/>
        </w:rPr>
      </w:pPr>
    </w:p>
    <w:p>
      <w:pPr>
        <w:shd w:val="clear" w:color="auto" w:fill="FFFFFF"/>
        <w:spacing w:before="0" w:after="150" w:line="420" w:lineRule="atLeast"/>
        <w:ind w:left="570" w:right="795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420" w:lineRule="atLeast"/>
        <w:ind w:left="795" w:right="57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c5NDgwMw==&amp;mid=2247493812&amp;idx=1&amp;sn=3600bb83da00399c53ededb23ff83170&amp;chksm=c38174c80daf206eb39cd8cddd31ac9d67413ce23f8b6c5d07e806aab7c855d013d0a63a1b44&amp;scene=126&amp;sessionid=174335508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