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南通市第一人民医院介入科研究受疑，科研规范待审视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19:06:50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2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近日，发表于《Translational Cancer Research》期刊的研究‘H19/miR-152-3p/TCF4 axis increases chemosensitivity of gastric cancer cells through suppression of epithelial-mesenchymal transition’ 因图像问题引发关注。该研究由Xiaodong Jiang , Wenbin Ding , Weiguang Shen , Jie Jin（通讯作者）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南通市第一人民医院（南通大学第二附属医院）介入科。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6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4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02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2023年9月评论人Hoya camphorifolia指出本文结果与其他研究图像重复：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4054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0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5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47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22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https://pubpeer.com/publications/058E6378281F899D759B7EB96B20FA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12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43&amp;idx=1&amp;sn=c682fa393f747493e4440d765ca6876a&amp;chksm=c303ac25da9a3d9fb4645fb1f163b4e40e6dca171cd53d7a535f958cbe685657f7f7ce40f095&amp;scene=126&amp;sessionid=17433550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