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28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79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37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79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15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61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52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86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&amp;chksm=c12475b299394747d0ce07f36f960cd194e52c688d64a40463b7caae91bfd3a4a1909d2f39eb&amp;scene=126&amp;sessionid=1743268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