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GAPDH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SAMD1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蛋白条带相似，作者们不同意此次撤稿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48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 月 16 日，山西医科大学第一医院、太钢总医院烧伤整形中心等单位的 Yanbin Meng、Zhenming Hao 等研究人员在《Immunity, Inflammation and Disease》（《免疫、炎症与疾病》）杂志上发表了题为 “lncRNA NEAT1/miR - 495 - 3p regulates angiogenesis in burn sepsis through the TGF - β1 and SMAD signaling pathways” 的研究。该研究表明，lncRNA NEAT1/miR - 495 - 3p 通过 TGF - β1 和 SMAD 信号通路调节烧伤脓毒症中的血管生成，这一成果有助于深入了解烧伤脓毒症血管生成的调控机制，对临床治疗可能有潜在指导意义。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007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3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03165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11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3 月 21 日，经杂志主编 Marc Veldhoen 和约翰威立父子出版公司（John Wiley &amp; Sons Ltd）商议，该文章因在研究方法和结果中存在科学缺陷及不一致性被撤回。尽管作者提供了一些支持数据，但仍不充分，问题依然存在，编辑们对该研究的结果和结论失去信心。不过，作者们不同意此次撤稿。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794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19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https://pubmed.ncbi.nlm.nih.gov/36705405/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9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2&amp;sn=234ec961aa8a5251acd298063e309e49&amp;chksm=c2c26edb189a0e42f1e4ed2c28a048758b27ca5aa6a5a883c385a4548e91cb9b37cd9d6f5fd0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