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西南医科大学基础医学院院长吴建明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药学院教授王龙团队的论文图像存在重复！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00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03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13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2022年4月30日，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IF=58.7)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novel therapeutic strategy for leukopenia: Miltefosine activates the Ras/MEK/ERK pathway to promote neutrophil differentiation"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白细胞减少症的新型治疗策略：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米替福新激活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Ras/MEK/ERK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通路，促进中性粒细胞分化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Qinyao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Siyu He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 Wang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),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Jianming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吴建明）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82204666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82074129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81774013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82273889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）、四川省自然科学基金一般项目（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2024NSFSC0711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2023NSFSC0657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）、四川省科学技术计划联合创新项目（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2022YFS0635-B1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）、泸州市人民政府与西南医科大学联合项目（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2024LZXNYDJ030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）、四川省杰出青年基金项目（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2022JDJQ0061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）以及中国大学生创新创业训练计划（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202410632006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202210632031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202310632102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S202310632303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1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5" name="" descr="西南医科大学怎么样？好不好就业呢？就业前景好吗？ - 西南医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26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62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经过DataTwin检测，本文的图3C中存在部分重叠。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04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https://www.sciencedirect.com/science/article/abs/pii/S0006291X24017753?via%3Dihub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7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45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21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1&amp;sn=5e00e5b85ef1db85fc58c62573ce8995&amp;chksm=c3c0af27e1b347bf81c368757bf7994018b6948e9b42a84d666be163238df9add3affa07c08c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