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不同实验条件的图像面板重叠，山东农业大学的论文被质疑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39978896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04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68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66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31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山东农业大学植物保护学院在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Carbohydrate Polymers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IF=10.7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 carboxymethyl chitosan /trans-2-hexenal Schiff's base gel with controlled density using dynamic imine bonds: pH-controlled release and extended duration"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利用动态亚胺键控制密度的羧甲基壳聚糖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反式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-2-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己烯醛席夫碱凝胶：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pH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值可控释放并延长持续时间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山东农业大学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Guang-shuo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山东农业大学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Nan Zou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本项工作得到了中国国家重点研发计划（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2023YFD1401200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32472609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2024M751877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）以及山东省博士后创新项目（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SDCX-ZG-202400096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48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20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063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25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84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The images of the two groups in Figure 8B overlap.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747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61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7F contains two identical petri dishes for different timepoints: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8810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2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https://pubpeer.com/publications/34A8A92FEB70246C42160F3F763480#1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https://pubmed.ncbi.nlm.nih.gov/39978896/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9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8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95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3&amp;sn=e0f56af8b4e8ceb892a31b0edb91929a&amp;chksm=c3c98b5459047d84ec94a4cf12e9d89c43f054ba567c9e5d73a7366782bfde7f3c0bd1484f49&amp;scene=126&amp;sessionid=17432671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