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64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69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67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在多个检测组合中，单个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WCE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WCE HIF-2α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mTOR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p-p70S6K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Thr421/Ser424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p-p70S6K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Thr389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p-4E-BP1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Thr37/46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面板看起来与图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WCE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8-10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看起来与图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通讯作者表示，上述蛋白质印迹面板没有拼接，但指出在图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通讯作者还发现了一个问题，即图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中报告的肿瘤体积超过了国际公认的动物福利标准，尽管他们指出，在发表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鉴于上述未解决的问题，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通知该期刊，所有作者都不同意撤稿。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TZ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JZ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YC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没有直接响应或无法联系到。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10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24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4&amp;sn=0a323ffa73d1ef42ff27da400b966767&amp;chksm=cf4291cbd918e3865629179cad29a2ebc7296579ada03ee6115aba7824f2f060765a0eb9145c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