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8862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本研究的目的是合成有效且经济的 MoS 2 /CdNi@rGO 光催化剂，并研究它们在合成废水中降解有机污染物的性能。</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7 月 4 日，</w:t>
      </w:r>
      <w:r>
        <w:rPr>
          <w:rStyle w:val="any"/>
          <w:rFonts w:ascii="Microsoft YaHei UI" w:eastAsia="Microsoft YaHei UI" w:hAnsi="Microsoft YaHei UI" w:cs="Microsoft YaHei UI"/>
          <w:color w:val="222222"/>
          <w:spacing w:val="8"/>
          <w:sz w:val="23"/>
          <w:szCs w:val="23"/>
        </w:rPr>
        <w:t>Bharathidasan 大学的M Senganiselvi 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Hierarchically design MoS2/CdNi@RGO ultra-thin hybrid sheet for Photocatalytic degradation of organic contaminants fingerprinting in environmental matrices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该研究结果表明，MoS 2 /CdNi@rGO 催化剂对罗丹明 B （RhB） 分解具有最大的速率常数。这大约是纯 RGO 的 33 倍 （0.0121 min -1 ）。MoS 2 /CdNi@rGO 光催化剂在五次回收试验中也表现出优异的可回收性和持久性，表明它们在废水处理中具有实际应用的潜力。光催化剂具有中等活性，稳定到其第五次使用，并且还使用 XRD 和 SEM 研究了光催化剂前后光催化剂的稳定性。该领域的进一步研究可能会导致用于环境修复的先进光催化技术的发展。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3955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36956" name=""/>
                    <pic:cNvPicPr>
                      <a:picLocks noChangeAspect="1"/>
                    </pic:cNvPicPr>
                  </pic:nvPicPr>
                  <pic:blipFill>
                    <a:blip xmlns:r="http://schemas.openxmlformats.org/officeDocument/2006/relationships" r:embed="rId8"/>
                    <a:stretch>
                      <a:fillRect/>
                    </a:stretch>
                  </pic:blipFill>
                  <pic:spPr>
                    <a:xfrm>
                      <a:off x="0" y="0"/>
                      <a:ext cx="5486400" cy="44395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https://pubpeer.com/publications/FEEB1F8BBF3226A42A1CA5C5280830# </w:t>
      </w:r>
      <w:r>
        <w:rPr>
          <w:rStyle w:val="any"/>
          <w:rFonts w:ascii="PMingLiU" w:eastAsia="PMingLiU" w:hAnsi="PMingLiU" w:cs="PMingLiU"/>
          <w:spacing w:val="8"/>
          <w:sz w:val="23"/>
          <w:szCs w:val="23"/>
        </w:rPr>
        <w:t>处对图</w:t>
      </w:r>
      <w:r>
        <w:rPr>
          <w:rStyle w:val="any"/>
          <w:rFonts w:ascii="Times New Roman" w:eastAsia="Times New Roman" w:hAnsi="Times New Roman" w:cs="Times New Roman"/>
          <w:spacing w:val="8"/>
          <w:sz w:val="23"/>
          <w:szCs w:val="23"/>
        </w:rPr>
        <w:t xml:space="preserve"> 13 </w:t>
      </w:r>
      <w:r>
        <w:rPr>
          <w:rStyle w:val="any"/>
          <w:rFonts w:ascii="PMingLiU" w:eastAsia="PMingLiU" w:hAnsi="PMingLiU" w:cs="PMingLiU"/>
          <w:spacing w:val="8"/>
          <w:sz w:val="23"/>
          <w:szCs w:val="23"/>
        </w:rPr>
        <w:t>中相同的</w:t>
      </w:r>
      <w:r>
        <w:rPr>
          <w:rStyle w:val="any"/>
          <w:rFonts w:ascii="Times New Roman" w:eastAsia="Times New Roman" w:hAnsi="Times New Roman" w:cs="Times New Roman"/>
          <w:spacing w:val="8"/>
          <w:sz w:val="23"/>
          <w:szCs w:val="23"/>
        </w:rPr>
        <w:t xml:space="preserve"> XRD </w:t>
      </w:r>
      <w:r>
        <w:rPr>
          <w:rStyle w:val="any"/>
          <w:rFonts w:ascii="PMingLiU" w:eastAsia="PMingLiU" w:hAnsi="PMingLiU" w:cs="PMingLiU"/>
          <w:spacing w:val="8"/>
          <w:sz w:val="23"/>
          <w:szCs w:val="23"/>
        </w:rPr>
        <w:t>迹线提出了担忧。当联系到作者时，作者没有为这种相似性提供令人满意的解释。因此，编辑确定该文章的调查结果不可信，并决定撤回该文章。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https://www.sciencedirect.com/science/article/pii/S0013935125006449?via%3Dihub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2358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930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5&amp;sn=907e21b212b67de931b237e7f32a1bc3&amp;chksm=cfd51e76dc6dffe0770d8b4bd7f664ec31c9e94e9ca8483095bcc31384bcc8b19cc758a7e9a0&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