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仅基于折衷的同行评审程序被接受，河北医科大学第三医院骨科</w:t>
        </w:r>
        <w:r>
          <w:rPr>
            <w:rStyle w:val="a"/>
            <w:rFonts w:ascii="Times New Roman" w:eastAsia="Times New Roman" w:hAnsi="Times New Roman" w:cs="Times New Roman"/>
            <w:b w:val="0"/>
            <w:bCs w:val="0"/>
            <w:spacing w:val="8"/>
          </w:rPr>
          <w:t>Int Wound J</w:t>
        </w:r>
        <w:r>
          <w:rPr>
            <w:rStyle w:val="a"/>
            <w:rFonts w:ascii="PMingLiU" w:eastAsia="PMingLiU" w:hAnsi="PMingLiU" w:cs="PMingLiU"/>
            <w:b w:val="0"/>
            <w:bCs w:val="0"/>
            <w:spacing w:val="8"/>
          </w:rPr>
          <w:t>论文撤回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2025-03-27 09:19:51</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609"/>
        <w:gridCol w:w="17580"/>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rPr>
              <w:drawing>
                <wp:inline>
                  <wp:extent cx="5302948" cy="99374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017627" name=""/>
                          <pic:cNvPicPr>
                            <a:picLocks noChangeAspect="1"/>
                          </pic:cNvPicPr>
                        </pic:nvPicPr>
                        <pic:blipFill>
                          <a:blip xmlns:r="http://schemas.openxmlformats.org/officeDocument/2006/relationships" r:embed="rId6"/>
                          <a:stretch>
                            <a:fillRect/>
                          </a:stretch>
                        </pic:blipFill>
                        <pic:spPr>
                          <a:xfrm>
                            <a:off x="0" y="0"/>
                            <a:ext cx="5302948" cy="993743"/>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bCs/>
                <w:i w:val="0"/>
                <w:iCs w:val="0"/>
                <w:caps w:val="0"/>
                <w:smallCaps w:val="0"/>
                <w:color w:val="111111"/>
                <w:spacing w:val="8"/>
                <w:sz w:val="28"/>
                <w:szCs w:val="28"/>
              </w:rPr>
              <w:t>仅基于折衷的同行评审程序被接受，河北医科大学第三医院骨科</w:t>
            </w:r>
            <w:r>
              <w:rPr>
                <w:rStyle w:val="any"/>
                <w:b/>
                <w:bCs/>
                <w:i w:val="0"/>
                <w:iCs w:val="0"/>
                <w:caps w:val="0"/>
                <w:smallCaps w:val="0"/>
                <w:color w:val="000000"/>
                <w:spacing w:val="8"/>
                <w:sz w:val="28"/>
                <w:szCs w:val="28"/>
              </w:rPr>
              <w:t>Int Wound J</w:t>
            </w:r>
            <w:r>
              <w:rPr>
                <w:rStyle w:val="any"/>
                <w:rFonts w:ascii="宋体" w:eastAsia="宋体" w:hAnsi="宋体" w:cs="宋体"/>
                <w:b/>
                <w:bCs/>
                <w:i w:val="0"/>
                <w:iCs w:val="0"/>
                <w:caps w:val="0"/>
                <w:smallCaps w:val="0"/>
                <w:color w:val="000000"/>
                <w:spacing w:val="8"/>
                <w:sz w:val="28"/>
                <w:szCs w:val="28"/>
              </w:rPr>
              <w:t>论文撤回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Analysis of the associated factors in postoperative wound infection following open reduction and internal fixation for elbow fracture </w:t>
            </w:r>
            <w:r>
              <w:rPr>
                <w:rStyle w:val="any"/>
                <w:rFonts w:ascii="Times New Roman" w:eastAsia="Times New Roman" w:hAnsi="Times New Roman" w:cs="Times New Roman"/>
                <w:b w:val="0"/>
                <w:bCs w:val="0"/>
                <w:i w:val="0"/>
                <w:iCs w:val="0"/>
                <w:smallCaps w:val="0"/>
                <w:color w:val="000000"/>
                <w:spacing w:val="8"/>
                <w:kern w:val="36"/>
                <w:sz w:val="24"/>
                <w:szCs w:val="24"/>
              </w:rPr>
              <w:t>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肘关节骨折切开复位内固定术后伤口感染相关因素分析</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肘关节骨折切开复位内固定术（</w:t>
            </w:r>
            <w:r>
              <w:rPr>
                <w:rStyle w:val="any"/>
                <w:rFonts w:ascii="Tahoma" w:eastAsia="Tahoma" w:hAnsi="Tahoma" w:cs="Tahoma"/>
                <w:b w:val="0"/>
                <w:bCs w:val="0"/>
                <w:i w:val="0"/>
                <w:iCs w:val="0"/>
                <w:caps w:val="0"/>
                <w:smallCaps w:val="0"/>
                <w:color w:val="111111"/>
                <w:spacing w:val="8"/>
                <w:sz w:val="21"/>
                <w:szCs w:val="21"/>
              </w:rPr>
              <w:t>ORIF</w:t>
            </w:r>
            <w:r>
              <w:rPr>
                <w:rStyle w:val="any"/>
                <w:rFonts w:ascii="PMingLiU" w:eastAsia="PMingLiU" w:hAnsi="PMingLiU" w:cs="PMingLiU"/>
                <w:b w:val="0"/>
                <w:bCs w:val="0"/>
                <w:i w:val="0"/>
                <w:iCs w:val="0"/>
                <w:caps w:val="0"/>
                <w:smallCaps w:val="0"/>
                <w:color w:val="111111"/>
                <w:spacing w:val="8"/>
                <w:sz w:val="21"/>
                <w:szCs w:val="21"/>
              </w:rPr>
              <w:t>）后的术后伤口感染（</w:t>
            </w:r>
            <w:r>
              <w:rPr>
                <w:rStyle w:val="any"/>
                <w:rFonts w:ascii="Tahoma" w:eastAsia="Tahoma" w:hAnsi="Tahoma" w:cs="Tahoma"/>
                <w:b w:val="0"/>
                <w:bCs w:val="0"/>
                <w:i w:val="0"/>
                <w:iCs w:val="0"/>
                <w:caps w:val="0"/>
                <w:smallCaps w:val="0"/>
                <w:color w:val="111111"/>
                <w:spacing w:val="8"/>
                <w:sz w:val="21"/>
                <w:szCs w:val="21"/>
              </w:rPr>
              <w:t>PWI</w:t>
            </w:r>
            <w:r>
              <w:rPr>
                <w:rStyle w:val="any"/>
                <w:rFonts w:ascii="PMingLiU" w:eastAsia="PMingLiU" w:hAnsi="PMingLiU" w:cs="PMingLiU"/>
                <w:b w:val="0"/>
                <w:bCs w:val="0"/>
                <w:i w:val="0"/>
                <w:iCs w:val="0"/>
                <w:caps w:val="0"/>
                <w:smallCaps w:val="0"/>
                <w:color w:val="111111"/>
                <w:spacing w:val="8"/>
                <w:sz w:val="21"/>
                <w:szCs w:val="21"/>
              </w:rPr>
              <w:t>）会显著影响患者的预后。识别相关风险因素对于改善临床实践和患者护理至关重要。我们机构的一项回顾性分析（</w:t>
            </w:r>
            <w:r>
              <w:rPr>
                <w:rStyle w:val="any"/>
                <w:rFonts w:ascii="Tahoma" w:eastAsia="Tahoma" w:hAnsi="Tahoma" w:cs="Tahoma"/>
                <w:b w:val="0"/>
                <w:bCs w:val="0"/>
                <w:i w:val="0"/>
                <w:iCs w:val="0"/>
                <w:caps w:val="0"/>
                <w:smallCaps w:val="0"/>
                <w:color w:val="111111"/>
                <w:spacing w:val="8"/>
                <w:sz w:val="21"/>
                <w:szCs w:val="21"/>
              </w:rPr>
              <w:t>2020</w:t>
            </w:r>
            <w:r>
              <w:rPr>
                <w:rStyle w:val="any"/>
                <w:rFonts w:ascii="PMingLiU" w:eastAsia="PMingLiU" w:hAnsi="PMingLiU" w:cs="PMingLiU"/>
                <w:b w:val="0"/>
                <w:bCs w:val="0"/>
                <w:i w:val="0"/>
                <w:iCs w:val="0"/>
                <w:caps w:val="0"/>
                <w:smallCaps w:val="0"/>
                <w:color w:val="111111"/>
                <w:spacing w:val="8"/>
                <w:sz w:val="21"/>
                <w:szCs w:val="21"/>
              </w:rPr>
              <w:t>年</w:t>
            </w:r>
            <w:r>
              <w:rPr>
                <w:rStyle w:val="any"/>
                <w:rFonts w:ascii="Tahoma" w:eastAsia="Tahoma" w:hAnsi="Tahoma" w:cs="Tahoma"/>
                <w:b w:val="0"/>
                <w:bCs w:val="0"/>
                <w:i w:val="0"/>
                <w:iCs w:val="0"/>
                <w:caps w:val="0"/>
                <w:smallCaps w:val="0"/>
                <w:color w:val="111111"/>
                <w:spacing w:val="8"/>
                <w:sz w:val="21"/>
                <w:szCs w:val="21"/>
              </w:rPr>
              <w:t>6</w:t>
            </w:r>
            <w:r>
              <w:rPr>
                <w:rStyle w:val="any"/>
                <w:rFonts w:ascii="PMingLiU" w:eastAsia="PMingLiU" w:hAnsi="PMingLiU" w:cs="PMingLiU"/>
                <w:b w:val="0"/>
                <w:bCs w:val="0"/>
                <w:i w:val="0"/>
                <w:iCs w:val="0"/>
                <w:caps w:val="0"/>
                <w:smallCaps w:val="0"/>
                <w:color w:val="111111"/>
                <w:spacing w:val="8"/>
                <w:sz w:val="21"/>
                <w:szCs w:val="21"/>
              </w:rPr>
              <w:t>月至</w:t>
            </w:r>
            <w:r>
              <w:rPr>
                <w:rStyle w:val="any"/>
                <w:rFonts w:ascii="Tahoma" w:eastAsia="Tahoma" w:hAnsi="Tahoma" w:cs="Tahoma"/>
                <w:b w:val="0"/>
                <w:bCs w:val="0"/>
                <w:i w:val="0"/>
                <w:iCs w:val="0"/>
                <w:caps w:val="0"/>
                <w:smallCaps w:val="0"/>
                <w:color w:val="111111"/>
                <w:spacing w:val="8"/>
                <w:sz w:val="21"/>
                <w:szCs w:val="21"/>
              </w:rPr>
              <w:t>2023</w:t>
            </w:r>
            <w:r>
              <w:rPr>
                <w:rStyle w:val="any"/>
                <w:rFonts w:ascii="PMingLiU" w:eastAsia="PMingLiU" w:hAnsi="PMingLiU" w:cs="PMingLiU"/>
                <w:b w:val="0"/>
                <w:bCs w:val="0"/>
                <w:i w:val="0"/>
                <w:iCs w:val="0"/>
                <w:caps w:val="0"/>
                <w:smallCaps w:val="0"/>
                <w:color w:val="111111"/>
                <w:spacing w:val="8"/>
                <w:sz w:val="21"/>
                <w:szCs w:val="21"/>
              </w:rPr>
              <w:t>年</w:t>
            </w:r>
            <w:r>
              <w:rPr>
                <w:rStyle w:val="any"/>
                <w:rFonts w:ascii="Tahoma" w:eastAsia="Tahoma" w:hAnsi="Tahoma" w:cs="Tahoma"/>
                <w:b w:val="0"/>
                <w:bCs w:val="0"/>
                <w:i w:val="0"/>
                <w:iCs w:val="0"/>
                <w:caps w:val="0"/>
                <w:smallCaps w:val="0"/>
                <w:color w:val="111111"/>
                <w:spacing w:val="8"/>
                <w:sz w:val="21"/>
                <w:szCs w:val="21"/>
              </w:rPr>
              <w:t>6</w:t>
            </w:r>
            <w:r>
              <w:rPr>
                <w:rStyle w:val="any"/>
                <w:rFonts w:ascii="PMingLiU" w:eastAsia="PMingLiU" w:hAnsi="PMingLiU" w:cs="PMingLiU"/>
                <w:b w:val="0"/>
                <w:bCs w:val="0"/>
                <w:i w:val="0"/>
                <w:iCs w:val="0"/>
                <w:caps w:val="0"/>
                <w:smallCaps w:val="0"/>
                <w:color w:val="111111"/>
                <w:spacing w:val="8"/>
                <w:sz w:val="21"/>
                <w:szCs w:val="21"/>
              </w:rPr>
              <w:t>月）涉及</w:t>
            </w:r>
            <w:r>
              <w:rPr>
                <w:rStyle w:val="any"/>
                <w:rFonts w:ascii="Tahoma" w:eastAsia="Tahoma" w:hAnsi="Tahoma" w:cs="Tahoma"/>
                <w:b w:val="0"/>
                <w:bCs w:val="0"/>
                <w:i w:val="0"/>
                <w:iCs w:val="0"/>
                <w:caps w:val="0"/>
                <w:smallCaps w:val="0"/>
                <w:color w:val="111111"/>
                <w:spacing w:val="8"/>
                <w:sz w:val="21"/>
                <w:szCs w:val="21"/>
              </w:rPr>
              <w:t>90</w:t>
            </w:r>
            <w:r>
              <w:rPr>
                <w:rStyle w:val="any"/>
                <w:rFonts w:ascii="PMingLiU" w:eastAsia="PMingLiU" w:hAnsi="PMingLiU" w:cs="PMingLiU"/>
                <w:b w:val="0"/>
                <w:bCs w:val="0"/>
                <w:i w:val="0"/>
                <w:iCs w:val="0"/>
                <w:caps w:val="0"/>
                <w:smallCaps w:val="0"/>
                <w:color w:val="111111"/>
                <w:spacing w:val="8"/>
                <w:sz w:val="21"/>
                <w:szCs w:val="21"/>
              </w:rPr>
              <w:t>名接受肘关节</w:t>
            </w:r>
            <w:r>
              <w:rPr>
                <w:rStyle w:val="any"/>
                <w:rFonts w:ascii="Tahoma" w:eastAsia="Tahoma" w:hAnsi="Tahoma" w:cs="Tahoma"/>
                <w:b w:val="0"/>
                <w:bCs w:val="0"/>
                <w:i w:val="0"/>
                <w:iCs w:val="0"/>
                <w:caps w:val="0"/>
                <w:smallCaps w:val="0"/>
                <w:color w:val="111111"/>
                <w:spacing w:val="8"/>
                <w:sz w:val="21"/>
                <w:szCs w:val="21"/>
              </w:rPr>
              <w:t>ORIF</w:t>
            </w:r>
            <w:r>
              <w:rPr>
                <w:rStyle w:val="any"/>
                <w:rFonts w:ascii="PMingLiU" w:eastAsia="PMingLiU" w:hAnsi="PMingLiU" w:cs="PMingLiU"/>
                <w:b w:val="0"/>
                <w:bCs w:val="0"/>
                <w:i w:val="0"/>
                <w:iCs w:val="0"/>
                <w:caps w:val="0"/>
                <w:smallCaps w:val="0"/>
                <w:color w:val="111111"/>
                <w:spacing w:val="8"/>
                <w:sz w:val="21"/>
                <w:szCs w:val="21"/>
              </w:rPr>
              <w:t>的患者。</w:t>
            </w:r>
            <w:r>
              <w:rPr>
                <w:rStyle w:val="any"/>
                <w:rFonts w:ascii="Tahoma" w:eastAsia="Tahoma" w:hAnsi="Tahoma" w:cs="Tahoma"/>
                <w:b w:val="0"/>
                <w:bCs w:val="0"/>
                <w:i w:val="0"/>
                <w:iCs w:val="0"/>
                <w:caps w:val="0"/>
                <w:smallCaps w:val="0"/>
                <w:color w:val="111111"/>
                <w:spacing w:val="8"/>
                <w:sz w:val="21"/>
                <w:szCs w:val="21"/>
              </w:rPr>
              <w:t>30</w:t>
            </w:r>
            <w:r>
              <w:rPr>
                <w:rStyle w:val="any"/>
                <w:rFonts w:ascii="PMingLiU" w:eastAsia="PMingLiU" w:hAnsi="PMingLiU" w:cs="PMingLiU"/>
                <w:b w:val="0"/>
                <w:bCs w:val="0"/>
                <w:i w:val="0"/>
                <w:iCs w:val="0"/>
                <w:caps w:val="0"/>
                <w:smallCaps w:val="0"/>
                <w:color w:val="111111"/>
                <w:spacing w:val="8"/>
                <w:sz w:val="21"/>
                <w:szCs w:val="21"/>
              </w:rPr>
              <w:t>名患者出现</w:t>
            </w:r>
            <w:r>
              <w:rPr>
                <w:rStyle w:val="any"/>
                <w:rFonts w:ascii="Tahoma" w:eastAsia="Tahoma" w:hAnsi="Tahoma" w:cs="Tahoma"/>
                <w:b w:val="0"/>
                <w:bCs w:val="0"/>
                <w:i w:val="0"/>
                <w:iCs w:val="0"/>
                <w:caps w:val="0"/>
                <w:smallCaps w:val="0"/>
                <w:color w:val="111111"/>
                <w:spacing w:val="8"/>
                <w:sz w:val="21"/>
                <w:szCs w:val="21"/>
              </w:rPr>
              <w:t>PWI</w:t>
            </w:r>
            <w:r>
              <w:rPr>
                <w:rStyle w:val="any"/>
                <w:rFonts w:ascii="PMingLiU" w:eastAsia="PMingLiU" w:hAnsi="PMingLiU" w:cs="PMingLiU"/>
                <w:b w:val="0"/>
                <w:bCs w:val="0"/>
                <w:i w:val="0"/>
                <w:iCs w:val="0"/>
                <w:caps w:val="0"/>
                <w:smallCaps w:val="0"/>
                <w:color w:val="111111"/>
                <w:spacing w:val="8"/>
                <w:sz w:val="21"/>
                <w:szCs w:val="21"/>
              </w:rPr>
              <w:t>（病例组），而</w:t>
            </w:r>
            <w:r>
              <w:rPr>
                <w:rStyle w:val="any"/>
                <w:rFonts w:ascii="Tahoma" w:eastAsia="Tahoma" w:hAnsi="Tahoma" w:cs="Tahoma"/>
                <w:b w:val="0"/>
                <w:bCs w:val="0"/>
                <w:i w:val="0"/>
                <w:iCs w:val="0"/>
                <w:caps w:val="0"/>
                <w:smallCaps w:val="0"/>
                <w:color w:val="111111"/>
                <w:spacing w:val="8"/>
                <w:sz w:val="21"/>
                <w:szCs w:val="21"/>
              </w:rPr>
              <w:t>60</w:t>
            </w:r>
            <w:r>
              <w:rPr>
                <w:rStyle w:val="any"/>
                <w:rFonts w:ascii="PMingLiU" w:eastAsia="PMingLiU" w:hAnsi="PMingLiU" w:cs="PMingLiU"/>
                <w:b w:val="0"/>
                <w:bCs w:val="0"/>
                <w:i w:val="0"/>
                <w:iCs w:val="0"/>
                <w:caps w:val="0"/>
                <w:smallCaps w:val="0"/>
                <w:color w:val="111111"/>
                <w:spacing w:val="8"/>
                <w:sz w:val="21"/>
                <w:szCs w:val="21"/>
              </w:rPr>
              <w:t>名患者没有出现</w:t>
            </w:r>
            <w:r>
              <w:rPr>
                <w:rStyle w:val="any"/>
                <w:rFonts w:ascii="Tahoma" w:eastAsia="Tahoma" w:hAnsi="Tahoma" w:cs="Tahoma"/>
                <w:b w:val="0"/>
                <w:bCs w:val="0"/>
                <w:i w:val="0"/>
                <w:iCs w:val="0"/>
                <w:caps w:val="0"/>
                <w:smallCaps w:val="0"/>
                <w:color w:val="111111"/>
                <w:spacing w:val="8"/>
                <w:sz w:val="21"/>
                <w:szCs w:val="21"/>
              </w:rPr>
              <w:t>PWIs</w:t>
            </w:r>
            <w:r>
              <w:rPr>
                <w:rStyle w:val="any"/>
                <w:rFonts w:ascii="PMingLiU" w:eastAsia="PMingLiU" w:hAnsi="PMingLiU" w:cs="PMingLiU"/>
                <w:b w:val="0"/>
                <w:bCs w:val="0"/>
                <w:i w:val="0"/>
                <w:iCs w:val="0"/>
                <w:caps w:val="0"/>
                <w:smallCaps w:val="0"/>
                <w:color w:val="111111"/>
                <w:spacing w:val="8"/>
                <w:sz w:val="21"/>
                <w:szCs w:val="21"/>
              </w:rPr>
              <w:t>（对照组）。检查了贫血、手术时间、住院时间、失血量、体重指数（</w:t>
            </w:r>
            <w:r>
              <w:rPr>
                <w:rStyle w:val="any"/>
                <w:rFonts w:ascii="Tahoma" w:eastAsia="Tahoma" w:hAnsi="Tahoma" w:cs="Tahoma"/>
                <w:b w:val="0"/>
                <w:bCs w:val="0"/>
                <w:i w:val="0"/>
                <w:iCs w:val="0"/>
                <w:caps w:val="0"/>
                <w:smallCaps w:val="0"/>
                <w:color w:val="111111"/>
                <w:spacing w:val="8"/>
                <w:sz w:val="21"/>
                <w:szCs w:val="21"/>
              </w:rPr>
              <w:t>BMI</w:t>
            </w:r>
            <w:r>
              <w:rPr>
                <w:rStyle w:val="any"/>
                <w:rFonts w:ascii="PMingLiU" w:eastAsia="PMingLiU" w:hAnsi="PMingLiU" w:cs="PMingLiU"/>
                <w:b w:val="0"/>
                <w:bCs w:val="0"/>
                <w:i w:val="0"/>
                <w:iCs w:val="0"/>
                <w:caps w:val="0"/>
                <w:smallCaps w:val="0"/>
                <w:color w:val="111111"/>
                <w:spacing w:val="8"/>
                <w:sz w:val="21"/>
                <w:szCs w:val="21"/>
              </w:rPr>
              <w:t>）、年龄、低白蛋白血症、吸烟状况、糖尿病和开放性骨折等变量。单变量和多变量分析确定了这些变量对</w:t>
            </w:r>
            <w:r>
              <w:rPr>
                <w:rStyle w:val="any"/>
                <w:rFonts w:ascii="Tahoma" w:eastAsia="Tahoma" w:hAnsi="Tahoma" w:cs="Tahoma"/>
                <w:b w:val="0"/>
                <w:bCs w:val="0"/>
                <w:i w:val="0"/>
                <w:iCs w:val="0"/>
                <w:caps w:val="0"/>
                <w:smallCaps w:val="0"/>
                <w:color w:val="111111"/>
                <w:spacing w:val="8"/>
                <w:sz w:val="21"/>
                <w:szCs w:val="21"/>
              </w:rPr>
              <w:t>PWI</w:t>
            </w:r>
            <w:r>
              <w:rPr>
                <w:rStyle w:val="any"/>
                <w:rFonts w:ascii="PMingLiU" w:eastAsia="PMingLiU" w:hAnsi="PMingLiU" w:cs="PMingLiU"/>
                <w:b w:val="0"/>
                <w:bCs w:val="0"/>
                <w:i w:val="0"/>
                <w:iCs w:val="0"/>
                <w:caps w:val="0"/>
                <w:smallCaps w:val="0"/>
                <w:color w:val="111111"/>
                <w:spacing w:val="8"/>
                <w:sz w:val="21"/>
                <w:szCs w:val="21"/>
              </w:rPr>
              <w:t>发病率的影响，统计显著性为</w:t>
            </w:r>
            <w:r>
              <w:rPr>
                <w:rStyle w:val="any"/>
                <w:rFonts w:ascii="Tahoma" w:eastAsia="Tahoma" w:hAnsi="Tahoma" w:cs="Tahoma"/>
                <w:b w:val="0"/>
                <w:bCs w:val="0"/>
                <w:i w:val="0"/>
                <w:iCs w:val="0"/>
                <w:caps w:val="0"/>
                <w:smallCaps w:val="0"/>
                <w:color w:val="111111"/>
                <w:spacing w:val="8"/>
                <w:sz w:val="21"/>
                <w:szCs w:val="21"/>
              </w:rPr>
              <w:t>p&lt;0.05</w:t>
            </w:r>
            <w:r>
              <w:rPr>
                <w:rStyle w:val="any"/>
                <w:rFonts w:ascii="PMingLiU" w:eastAsia="PMingLiU" w:hAnsi="PMingLiU" w:cs="PMingLiU"/>
                <w:b w:val="0"/>
                <w:bCs w:val="0"/>
                <w:i w:val="0"/>
                <w:iCs w:val="0"/>
                <w:caps w:val="0"/>
                <w:smallCaps w:val="0"/>
                <w:color w:val="111111"/>
                <w:spacing w:val="8"/>
                <w:sz w:val="21"/>
                <w:szCs w:val="21"/>
              </w:rPr>
              <w:t>。鉴定的主要病原体是革兰氏阴性菌中的大肠杆菌（</w:t>
            </w:r>
            <w:r>
              <w:rPr>
                <w:rStyle w:val="any"/>
                <w:rFonts w:ascii="Tahoma" w:eastAsia="Tahoma" w:hAnsi="Tahoma" w:cs="Tahoma"/>
                <w:b w:val="0"/>
                <w:bCs w:val="0"/>
                <w:i w:val="0"/>
                <w:iCs w:val="0"/>
                <w:caps w:val="0"/>
                <w:smallCaps w:val="0"/>
                <w:color w:val="111111"/>
                <w:spacing w:val="8"/>
                <w:sz w:val="21"/>
                <w:szCs w:val="21"/>
              </w:rPr>
              <w:t>59.46%</w:t>
            </w:r>
            <w:r>
              <w:rPr>
                <w:rStyle w:val="any"/>
                <w:rFonts w:ascii="PMingLiU" w:eastAsia="PMingLiU" w:hAnsi="PMingLiU" w:cs="PMingLiU"/>
                <w:b w:val="0"/>
                <w:bCs w:val="0"/>
                <w:i w:val="0"/>
                <w:iCs w:val="0"/>
                <w:caps w:val="0"/>
                <w:smallCaps w:val="0"/>
                <w:color w:val="111111"/>
                <w:spacing w:val="8"/>
                <w:sz w:val="21"/>
                <w:szCs w:val="21"/>
              </w:rPr>
              <w:t>）和革兰氏阳性菌中的金黄色葡萄球菌（</w:t>
            </w:r>
            <w:r>
              <w:rPr>
                <w:rStyle w:val="any"/>
                <w:rFonts w:ascii="Tahoma" w:eastAsia="Tahoma" w:hAnsi="Tahoma" w:cs="Tahoma"/>
                <w:b w:val="0"/>
                <w:bCs w:val="0"/>
                <w:i w:val="0"/>
                <w:iCs w:val="0"/>
                <w:caps w:val="0"/>
                <w:smallCaps w:val="0"/>
                <w:color w:val="111111"/>
                <w:spacing w:val="8"/>
                <w:sz w:val="21"/>
                <w:szCs w:val="21"/>
              </w:rPr>
              <w:t>40.54%</w:t>
            </w:r>
            <w:r>
              <w:rPr>
                <w:rStyle w:val="any"/>
                <w:rFonts w:ascii="PMingLiU" w:eastAsia="PMingLiU" w:hAnsi="PMingLiU" w:cs="PMingLiU"/>
                <w:b w:val="0"/>
                <w:bCs w:val="0"/>
                <w:i w:val="0"/>
                <w:iCs w:val="0"/>
                <w:caps w:val="0"/>
                <w:smallCaps w:val="0"/>
                <w:color w:val="111111"/>
                <w:spacing w:val="8"/>
                <w:sz w:val="21"/>
                <w:szCs w:val="21"/>
              </w:rPr>
              <w:t>）。在单变量分析中，低白蛋白血症、贫血和吸烟等生活方式因素在</w:t>
            </w:r>
            <w:r>
              <w:rPr>
                <w:rStyle w:val="any"/>
                <w:rFonts w:ascii="Tahoma" w:eastAsia="Tahoma" w:hAnsi="Tahoma" w:cs="Tahoma"/>
                <w:b w:val="0"/>
                <w:bCs w:val="0"/>
                <w:i w:val="0"/>
                <w:iCs w:val="0"/>
                <w:caps w:val="0"/>
                <w:smallCaps w:val="0"/>
                <w:color w:val="111111"/>
                <w:spacing w:val="8"/>
                <w:sz w:val="21"/>
                <w:szCs w:val="21"/>
              </w:rPr>
              <w:t>PWI</w:t>
            </w:r>
            <w:r>
              <w:rPr>
                <w:rStyle w:val="any"/>
                <w:rFonts w:ascii="PMingLiU" w:eastAsia="PMingLiU" w:hAnsi="PMingLiU" w:cs="PMingLiU"/>
                <w:b w:val="0"/>
                <w:bCs w:val="0"/>
                <w:i w:val="0"/>
                <w:iCs w:val="0"/>
                <w:caps w:val="0"/>
                <w:smallCaps w:val="0"/>
                <w:color w:val="111111"/>
                <w:spacing w:val="8"/>
                <w:sz w:val="21"/>
                <w:szCs w:val="21"/>
              </w:rPr>
              <w:t>患者中的患病率较高。然而，年龄和住院时间对感染率没有显著影响。多变量分析进一步阐明，贫血、吸烟、糖尿病和开放性骨折是</w:t>
            </w:r>
            <w:r>
              <w:rPr>
                <w:rStyle w:val="any"/>
                <w:rFonts w:ascii="Tahoma" w:eastAsia="Tahoma" w:hAnsi="Tahoma" w:cs="Tahoma"/>
                <w:b w:val="0"/>
                <w:bCs w:val="0"/>
                <w:i w:val="0"/>
                <w:iCs w:val="0"/>
                <w:caps w:val="0"/>
                <w:smallCaps w:val="0"/>
                <w:color w:val="111111"/>
                <w:spacing w:val="8"/>
                <w:sz w:val="21"/>
                <w:szCs w:val="21"/>
              </w:rPr>
              <w:t>PWI</w:t>
            </w:r>
            <w:r>
              <w:rPr>
                <w:rStyle w:val="any"/>
                <w:rFonts w:ascii="PMingLiU" w:eastAsia="PMingLiU" w:hAnsi="PMingLiU" w:cs="PMingLiU"/>
                <w:b w:val="0"/>
                <w:bCs w:val="0"/>
                <w:i w:val="0"/>
                <w:iCs w:val="0"/>
                <w:caps w:val="0"/>
                <w:smallCaps w:val="0"/>
                <w:color w:val="111111"/>
                <w:spacing w:val="8"/>
                <w:sz w:val="21"/>
                <w:szCs w:val="21"/>
              </w:rPr>
              <w:t>的独立、显著预测因素。这些发现突显了影响</w:t>
            </w:r>
            <w:r>
              <w:rPr>
                <w:rStyle w:val="any"/>
                <w:rFonts w:ascii="Tahoma" w:eastAsia="Tahoma" w:hAnsi="Tahoma" w:cs="Tahoma"/>
                <w:b w:val="0"/>
                <w:bCs w:val="0"/>
                <w:i w:val="0"/>
                <w:iCs w:val="0"/>
                <w:caps w:val="0"/>
                <w:smallCaps w:val="0"/>
                <w:color w:val="111111"/>
                <w:spacing w:val="8"/>
                <w:sz w:val="21"/>
                <w:szCs w:val="21"/>
              </w:rPr>
              <w:t>ORIF</w:t>
            </w:r>
            <w:r>
              <w:rPr>
                <w:rStyle w:val="any"/>
                <w:rFonts w:ascii="PMingLiU" w:eastAsia="PMingLiU" w:hAnsi="PMingLiU" w:cs="PMingLiU"/>
                <w:b w:val="0"/>
                <w:bCs w:val="0"/>
                <w:i w:val="0"/>
                <w:iCs w:val="0"/>
                <w:caps w:val="0"/>
                <w:smallCaps w:val="0"/>
                <w:color w:val="111111"/>
                <w:spacing w:val="8"/>
                <w:sz w:val="21"/>
                <w:szCs w:val="21"/>
              </w:rPr>
              <w:t>后感染风险的因素的复杂性，强调了个体健康状况和手术并发症对患者预后的重要性。贫血、吸烟、糖尿病和开放性骨折显著增加了肘关节</w:t>
            </w:r>
            <w:r>
              <w:rPr>
                <w:rStyle w:val="any"/>
                <w:rFonts w:ascii="Tahoma" w:eastAsia="Tahoma" w:hAnsi="Tahoma" w:cs="Tahoma"/>
                <w:b w:val="0"/>
                <w:bCs w:val="0"/>
                <w:i w:val="0"/>
                <w:iCs w:val="0"/>
                <w:caps w:val="0"/>
                <w:smallCaps w:val="0"/>
                <w:color w:val="111111"/>
                <w:spacing w:val="8"/>
                <w:sz w:val="21"/>
                <w:szCs w:val="21"/>
              </w:rPr>
              <w:t>ORIF</w:t>
            </w:r>
            <w:r>
              <w:rPr>
                <w:rStyle w:val="any"/>
                <w:rFonts w:ascii="PMingLiU" w:eastAsia="PMingLiU" w:hAnsi="PMingLiU" w:cs="PMingLiU"/>
                <w:b w:val="0"/>
                <w:bCs w:val="0"/>
                <w:i w:val="0"/>
                <w:iCs w:val="0"/>
                <w:caps w:val="0"/>
                <w:smallCaps w:val="0"/>
                <w:color w:val="111111"/>
                <w:spacing w:val="8"/>
                <w:sz w:val="21"/>
                <w:szCs w:val="21"/>
              </w:rPr>
              <w:t>后</w:t>
            </w:r>
            <w:r>
              <w:rPr>
                <w:rStyle w:val="any"/>
                <w:rFonts w:ascii="Tahoma" w:eastAsia="Tahoma" w:hAnsi="Tahoma" w:cs="Tahoma"/>
                <w:b w:val="0"/>
                <w:bCs w:val="0"/>
                <w:i w:val="0"/>
                <w:iCs w:val="0"/>
                <w:caps w:val="0"/>
                <w:smallCaps w:val="0"/>
                <w:color w:val="111111"/>
                <w:spacing w:val="8"/>
                <w:sz w:val="21"/>
                <w:szCs w:val="21"/>
              </w:rPr>
              <w:t>PWI</w:t>
            </w:r>
            <w:r>
              <w:rPr>
                <w:rStyle w:val="any"/>
                <w:rFonts w:ascii="PMingLiU" w:eastAsia="PMingLiU" w:hAnsi="PMingLiU" w:cs="PMingLiU"/>
                <w:b w:val="0"/>
                <w:bCs w:val="0"/>
                <w:i w:val="0"/>
                <w:iCs w:val="0"/>
                <w:caps w:val="0"/>
                <w:smallCaps w:val="0"/>
                <w:color w:val="111111"/>
                <w:spacing w:val="8"/>
                <w:sz w:val="21"/>
                <w:szCs w:val="21"/>
              </w:rPr>
              <w:t>的风险。早期识别和管理这些风险因素对于降低感染率和改善术后恢复至关重要。</w:t>
            </w:r>
            <w:r>
              <w:rPr>
                <w:rStyle w:val="any"/>
                <w:rFonts w:ascii="Calibri" w:eastAsia="Calibri" w:hAnsi="Calibri" w:cs="Calibri"/>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Tahoma" w:eastAsia="Tahoma" w:hAnsi="Tahoma" w:cs="Tahoma"/>
                <w:b w:val="0"/>
                <w:bCs w:val="0"/>
                <w:i w:val="0"/>
                <w:iCs w:val="0"/>
                <w:caps w:val="0"/>
                <w:smallCaps w:val="0"/>
                <w:color w:val="111111"/>
                <w:spacing w:val="8"/>
                <w:sz w:val="23"/>
                <w:szCs w:val="23"/>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vertAlign w:val="baseline"/>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Tahoma" w:eastAsia="Tahoma" w:hAnsi="Tahoma" w:cs="Tahoma"/>
                <w:b w:val="0"/>
                <w:bCs w:val="0"/>
                <w:i w:val="0"/>
                <w:iCs w:val="0"/>
                <w:caps w:val="0"/>
                <w:smallCaps w:val="0"/>
                <w:color w:val="111111"/>
                <w:spacing w:val="8"/>
                <w:sz w:val="23"/>
                <w:szCs w:val="23"/>
              </w:rPr>
              <w:t>1</w:t>
            </w:r>
            <w:r>
              <w:rPr>
                <w:rStyle w:val="any"/>
                <w:rFonts w:ascii="PMingLiU" w:eastAsia="PMingLiU" w:hAnsi="PMingLiU" w:cs="PMingLiU"/>
                <w:b w:val="0"/>
                <w:bCs w:val="0"/>
                <w:i w:val="0"/>
                <w:iCs w:val="0"/>
                <w:caps w:val="0"/>
                <w:smallCaps w:val="0"/>
                <w:color w:val="111111"/>
                <w:spacing w:val="8"/>
                <w:sz w:val="23"/>
                <w:szCs w:val="23"/>
              </w:rPr>
              <w:t>河北医科大学第三医院骨科，石家庄，</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Tahoma" w:eastAsia="Tahoma" w:hAnsi="Tahoma" w:cs="Tahoma"/>
                <w:b w:val="0"/>
                <w:bCs w:val="0"/>
                <w:i w:val="0"/>
                <w:iCs w:val="0"/>
                <w:caps w:val="0"/>
                <w:smallCaps w:val="0"/>
                <w:color w:val="111111"/>
                <w:spacing w:val="8"/>
                <w:sz w:val="23"/>
                <w:szCs w:val="23"/>
              </w:rPr>
              <w:t>2</w:t>
            </w:r>
            <w:r>
              <w:rPr>
                <w:rStyle w:val="any"/>
                <w:rFonts w:ascii="PMingLiU" w:eastAsia="PMingLiU" w:hAnsi="PMingLiU" w:cs="PMingLiU"/>
                <w:b w:val="0"/>
                <w:bCs w:val="0"/>
                <w:i w:val="0"/>
                <w:iCs w:val="0"/>
                <w:caps w:val="0"/>
                <w:smallCaps w:val="0"/>
                <w:color w:val="111111"/>
                <w:spacing w:val="8"/>
                <w:sz w:val="23"/>
                <w:szCs w:val="23"/>
              </w:rPr>
              <w:t>河北沧州中西医结合医院骨科，沧州，</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Int Wound J</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基于折衷的同行评审程序被接受</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r>
              <w:rPr>
                <w:rStyle w:val="any"/>
                <w:rFonts w:ascii="Calibri" w:eastAsia="Calibri" w:hAnsi="Calibri" w:cs="Calibri"/>
                <w:b w:val="0"/>
                <w:bCs w:val="0"/>
                <w:i w:val="0"/>
                <w:iCs w:val="0"/>
                <w:smallCaps w:val="0"/>
                <w:color w:val="000000"/>
                <w:spacing w:val="8"/>
              </w:rPr>
              <w:t>        </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上述文章于</w:t>
            </w:r>
            <w:r>
              <w:rPr>
                <w:rStyle w:val="any"/>
                <w:rFonts w:ascii="Tahoma" w:eastAsia="Tahoma" w:hAnsi="Tahoma" w:cs="Tahoma"/>
                <w:b w:val="0"/>
                <w:bCs w:val="0"/>
                <w:i w:val="0"/>
                <w:iCs w:val="0"/>
                <w:caps w:val="0"/>
                <w:smallCaps w:val="0"/>
                <w:color w:val="111111"/>
                <w:spacing w:val="8"/>
                <w:sz w:val="21"/>
                <w:szCs w:val="21"/>
              </w:rPr>
              <w:t>2024</w:t>
            </w:r>
            <w:r>
              <w:rPr>
                <w:rStyle w:val="any"/>
                <w:rFonts w:ascii="PMingLiU" w:eastAsia="PMingLiU" w:hAnsi="PMingLiU" w:cs="PMingLiU"/>
                <w:b w:val="0"/>
                <w:bCs w:val="0"/>
                <w:i w:val="0"/>
                <w:iCs w:val="0"/>
                <w:caps w:val="0"/>
                <w:smallCaps w:val="0"/>
                <w:color w:val="111111"/>
                <w:spacing w:val="8"/>
                <w:sz w:val="21"/>
                <w:szCs w:val="21"/>
              </w:rPr>
              <w:t>年</w:t>
            </w:r>
            <w:r>
              <w:rPr>
                <w:rStyle w:val="any"/>
                <w:rFonts w:ascii="Tahoma" w:eastAsia="Tahoma" w:hAnsi="Tahoma" w:cs="Tahoma"/>
                <w:b w:val="0"/>
                <w:bCs w:val="0"/>
                <w:i w:val="0"/>
                <w:iCs w:val="0"/>
                <w:caps w:val="0"/>
                <w:smallCaps w:val="0"/>
                <w:color w:val="111111"/>
                <w:spacing w:val="8"/>
                <w:sz w:val="21"/>
                <w:szCs w:val="21"/>
              </w:rPr>
              <w:t>4</w:t>
            </w:r>
            <w:r>
              <w:rPr>
                <w:rStyle w:val="any"/>
                <w:rFonts w:ascii="PMingLiU" w:eastAsia="PMingLiU" w:hAnsi="PMingLiU" w:cs="PMingLiU"/>
                <w:b w:val="0"/>
                <w:bCs w:val="0"/>
                <w:i w:val="0"/>
                <w:iCs w:val="0"/>
                <w:caps w:val="0"/>
                <w:smallCaps w:val="0"/>
                <w:color w:val="111111"/>
                <w:spacing w:val="8"/>
                <w:sz w:val="21"/>
                <w:szCs w:val="21"/>
              </w:rPr>
              <w:t>月</w:t>
            </w:r>
            <w:r>
              <w:rPr>
                <w:rStyle w:val="any"/>
                <w:rFonts w:ascii="Tahoma" w:eastAsia="Tahoma" w:hAnsi="Tahoma" w:cs="Tahoma"/>
                <w:b w:val="0"/>
                <w:bCs w:val="0"/>
                <w:i w:val="0"/>
                <w:iCs w:val="0"/>
                <w:caps w:val="0"/>
                <w:smallCaps w:val="0"/>
                <w:color w:val="111111"/>
                <w:spacing w:val="8"/>
                <w:sz w:val="21"/>
                <w:szCs w:val="21"/>
              </w:rPr>
              <w:t>13</w:t>
            </w:r>
            <w:r>
              <w:rPr>
                <w:rStyle w:val="any"/>
                <w:rFonts w:ascii="PMingLiU" w:eastAsia="PMingLiU" w:hAnsi="PMingLiU" w:cs="PMingLiU"/>
                <w:b w:val="0"/>
                <w:bCs w:val="0"/>
                <w:i w:val="0"/>
                <w:iCs w:val="0"/>
                <w:caps w:val="0"/>
                <w:smallCaps w:val="0"/>
                <w:color w:val="111111"/>
                <w:spacing w:val="8"/>
                <w:sz w:val="21"/>
                <w:szCs w:val="21"/>
              </w:rPr>
              <w:t>日在线发表在威利在线图书馆</w:t>
            </w:r>
            <w:r>
              <w:rPr>
                <w:rStyle w:val="any"/>
                <w:rFonts w:ascii="Tahoma" w:eastAsia="Tahoma" w:hAnsi="Tahoma" w:cs="Tahoma"/>
                <w:b w:val="0"/>
                <w:bCs w:val="0"/>
                <w:i w:val="0"/>
                <w:iCs w:val="0"/>
                <w:caps w:val="0"/>
                <w:smallCaps w:val="0"/>
                <w:color w:val="111111"/>
                <w:spacing w:val="8"/>
                <w:sz w:val="21"/>
                <w:szCs w:val="21"/>
              </w:rPr>
              <w:t>(http://onlinelibrary.wiley.com/)</w:t>
            </w:r>
            <w:r>
              <w:rPr>
                <w:rStyle w:val="any"/>
                <w:rFonts w:ascii="PMingLiU" w:eastAsia="PMingLiU" w:hAnsi="PMingLiU" w:cs="PMingLiU"/>
                <w:b w:val="0"/>
                <w:bCs w:val="0"/>
                <w:i w:val="0"/>
                <w:iCs w:val="0"/>
                <w:caps w:val="0"/>
                <w:smallCaps w:val="0"/>
                <w:color w:val="111111"/>
                <w:spacing w:val="8"/>
                <w:sz w:val="21"/>
                <w:szCs w:val="21"/>
              </w:rPr>
              <w:t>，已被期刊主编基思</w:t>
            </w:r>
            <w:r>
              <w:rPr>
                <w:rStyle w:val="any"/>
                <w:rFonts w:ascii="Tahoma" w:eastAsia="Tahoma" w:hAnsi="Tahoma" w:cs="Tahoma"/>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哈丁教授同意撤回；和</w:t>
            </w:r>
            <w:r>
              <w:rPr>
                <w:rStyle w:val="any"/>
                <w:rFonts w:ascii="Tahoma" w:eastAsia="Tahoma" w:hAnsi="Tahoma" w:cs="Tahoma"/>
                <w:b w:val="0"/>
                <w:bCs w:val="0"/>
                <w:i w:val="0"/>
                <w:iCs w:val="0"/>
                <w:caps w:val="0"/>
                <w:smallCaps w:val="0"/>
                <w:color w:val="111111"/>
                <w:spacing w:val="8"/>
                <w:sz w:val="21"/>
                <w:szCs w:val="21"/>
              </w:rPr>
              <w:t>John Wiley&amp;Sons</w:t>
            </w:r>
            <w:r>
              <w:rPr>
                <w:rStyle w:val="any"/>
                <w:rFonts w:ascii="PMingLiU" w:eastAsia="PMingLiU" w:hAnsi="PMingLiU" w:cs="PMingLiU"/>
                <w:b w:val="0"/>
                <w:bCs w:val="0"/>
                <w:i w:val="0"/>
                <w:iCs w:val="0"/>
                <w:caps w:val="0"/>
                <w:smallCaps w:val="0"/>
                <w:color w:val="111111"/>
                <w:spacing w:val="8"/>
                <w:sz w:val="21"/>
                <w:szCs w:val="21"/>
              </w:rPr>
              <w:t>，有限公司。在出版商进行调查后，各方得出结论，本文仅基于折衷的同行评审程序被接受。因此，编辑们决定撤回这篇文章。作者同意撤回，并表示他们没有参与受损的同行评审过程。</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5791" cy="138055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577543" name=""/>
                          <pic:cNvPicPr>
                            <a:picLocks noChangeAspect="1"/>
                          </pic:cNvPicPr>
                        </pic:nvPicPr>
                        <pic:blipFill>
                          <a:blip xmlns:r="http://schemas.openxmlformats.org/officeDocument/2006/relationships" r:embed="rId7"/>
                          <a:stretch>
                            <a:fillRect/>
                          </a:stretch>
                        </pic:blipFill>
                        <pic:spPr>
                          <a:xfrm>
                            <a:off x="0" y="0"/>
                            <a:ext cx="3655791" cy="138055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6361" cy="22250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798066" name=""/>
                          <pic:cNvPicPr>
                            <a:picLocks noChangeAspect="1"/>
                          </pic:cNvPicPr>
                        </pic:nvPicPr>
                        <pic:blipFill>
                          <a:blip xmlns:r="http://schemas.openxmlformats.org/officeDocument/2006/relationships" r:embed="rId8"/>
                          <a:stretch>
                            <a:fillRect/>
                          </a:stretch>
                        </pic:blipFill>
                        <pic:spPr>
                          <a:xfrm>
                            <a:off x="0" y="0"/>
                            <a:ext cx="3656361" cy="2225040"/>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831831"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r>
        <w:rPr>
          <w:rStyle w:val="any"/>
          <w:rFonts w:ascii="Calibri" w:eastAsia="Calibri" w:hAnsi="Calibri" w:cs="Calibri"/>
          <w:b w:val="0"/>
          <w:bCs w:val="0"/>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4063460" cy="250764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595388" name=""/>
                    <pic:cNvPicPr>
                      <a:picLocks noChangeAspect="1"/>
                    </pic:cNvPicPr>
                  </pic:nvPicPr>
                  <pic:blipFill>
                    <a:blip xmlns:r="http://schemas.openxmlformats.org/officeDocument/2006/relationships" r:embed="rId10"/>
                    <a:stretch>
                      <a:fillRect/>
                    </a:stretch>
                  </pic:blipFill>
                  <pic:spPr>
                    <a:xfrm>
                      <a:off x="0" y="0"/>
                      <a:ext cx="4063460" cy="250764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ind w:left="300" w:right="300" w:firstLine="336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862928"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spacing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4130&amp;idx=1&amp;sn=dc94b38f03f4178e1a406aade3ad023d&amp;chksm=c05ded4c2f55697aa2e712828be4ba11fc92ea6f24df1daa89baeb4d474a33229e2c43d21133&amp;scene=126&amp;sessionid=174326784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