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某三甲医院口腔颌面外科：国自然资助论文因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7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处图片重复引发强烈质疑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10:48:41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2020年9月，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广西医科大学附属武鸣医院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广西医科大学口腔医学院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Cancer management and research（IF 2.5000 / 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发表4年后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“LncRNA-IUR Sponges miR-24 to Upregulate P53 in Laryngeal Squamous Cell Carcinoma”。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第一作者：广西医科大学附属武鸣医院的Cen Wei， Huaqing Wei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通讯作者：广西医科大学口腔医学院的Xun Wu，广西医科大学附属武鸣医院的Guangyao Nong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该研究共受2项基金支持：中国口腔学会西医口腔临床研究基金项目（批准号：CSA-W2018-06），国家自然科学基金（批准号81360407）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166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339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20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619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561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68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119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763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https://pubpeer.com/publications/3313D2A1657641477270D6386B0CE3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4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39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394&amp;idx=1&amp;sn=ec77d5a1622ab6a8c33227b30dfedaa4&amp;chksm=c2b33e63aa06f7aa61d5d650a6f2beb361d299b309a74f573f8cf6e4f24aee4d10dff6cea122&amp;scene=126&amp;sessionid=174326771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