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IF=16.2!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Neuron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论文被质疑图片重复！作者已致歉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09:48:28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年，主要分</w:t>
      </w:r>
      <w:r>
        <w:rPr>
          <w:rStyle w:val="any"/>
          <w:rFonts w:ascii="PMingLiU" w:eastAsia="PMingLiU" w:hAnsi="PMingLiU" w:cs="PMingLiU"/>
          <w:spacing w:val="8"/>
        </w:rPr>
        <w:t>别来自</w:t>
      </w:r>
      <w:r>
        <w:rPr>
          <w:rStyle w:val="any"/>
          <w:rFonts w:ascii="PMingLiU" w:eastAsia="PMingLiU" w:hAnsi="PMingLiU" w:cs="PMingLiU"/>
          <w:spacing w:val="8"/>
        </w:rPr>
        <w:t>中国药科大学药学院和浙江大学医学院附属精神卫生中心的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Xu-Yi Li , Shi-Ya Zhang , Yi-Zhou Hong , Zhi-Gang Chen ,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 Long , Dan-Hua Yuan , Jia-Jia Zhao , Su-Su Tang </w:t>
      </w:r>
      <w:r>
        <w:rPr>
          <w:rStyle w:val="any"/>
          <w:rFonts w:ascii="PMingLiU" w:eastAsia="PMingLiU" w:hAnsi="PMingLiU" w:cs="PMingLiU"/>
          <w:spacing w:val="8"/>
        </w:rPr>
        <w:t>（通讯作者，音译唐苏苏）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Hao Wang </w:t>
      </w:r>
      <w:r>
        <w:rPr>
          <w:rStyle w:val="any"/>
          <w:rFonts w:ascii="PMingLiU" w:eastAsia="PMingLiU" w:hAnsi="PMingLiU" w:cs="PMingLiU"/>
          <w:spacing w:val="8"/>
        </w:rPr>
        <w:t>（通讯作者，音译王浩）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Hao Hong </w:t>
      </w:r>
      <w:r>
        <w:rPr>
          <w:rStyle w:val="any"/>
          <w:rFonts w:ascii="PMingLiU" w:eastAsia="PMingLiU" w:hAnsi="PMingLiU" w:cs="PMingLiU"/>
          <w:spacing w:val="8"/>
        </w:rPr>
        <w:t>（通讯作者，音译洪浩）在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Neuron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TGR5-mediated lateral hypothalamus-dCA3-dorsolateral septum circuit regulates depressive-like behavior in male mice</w:t>
      </w:r>
      <w:r>
        <w:rPr>
          <w:rStyle w:val="any"/>
          <w:rFonts w:ascii="PMingLiU" w:eastAsia="PMingLiU" w:hAnsi="PMingLiU" w:cs="PMingLiU"/>
          <w:spacing w:val="8"/>
        </w:rPr>
        <w:t>。该研究受到科技部</w:t>
      </w:r>
      <w:r>
        <w:rPr>
          <w:rStyle w:val="any"/>
          <w:rFonts w:ascii="Times New Roman" w:eastAsia="Times New Roman" w:hAnsi="Times New Roman" w:cs="Times New Roman"/>
          <w:spacing w:val="8"/>
        </w:rPr>
        <w:t>2030—“</w:t>
      </w:r>
      <w:r>
        <w:rPr>
          <w:rStyle w:val="any"/>
          <w:rFonts w:ascii="PMingLiU" w:eastAsia="PMingLiU" w:hAnsi="PMingLiU" w:cs="PMingLiU"/>
          <w:spacing w:val="8"/>
        </w:rPr>
        <w:t>脑科学与类脑研究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重大项目、国家自然科学基金委等资助。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67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963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Metallosphaera hakonensis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这篇文章相当有趣，我们的研究小组已经对其进行了仔细研究。在阅读这篇文章时，我们注意到了一些问题。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spacing w:val="8"/>
        </w:rPr>
        <w:t>我们发现图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6H </w:t>
      </w:r>
      <w:r>
        <w:rPr>
          <w:rStyle w:val="any"/>
          <w:rFonts w:ascii="PMingLiU" w:eastAsia="PMingLiU" w:hAnsi="PMingLiU" w:cs="PMingLiU"/>
          <w:spacing w:val="8"/>
        </w:rPr>
        <w:t>包含相同的图像，这些图像被用于完全不同的实验，很难将其解释为简单的图像误用情况。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spacing w:val="8"/>
        </w:rPr>
        <w:t>此外，图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的部分和图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1H </w:t>
      </w:r>
      <w:r>
        <w:rPr>
          <w:rStyle w:val="any"/>
          <w:rFonts w:ascii="PMingLiU" w:eastAsia="PMingLiU" w:hAnsi="PMingLiU" w:cs="PMingLiU"/>
          <w:spacing w:val="8"/>
        </w:rPr>
        <w:t>高度相似，这也是来自完全不同的实验。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086100" cy="2686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611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48025" cy="2514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79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25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366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293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65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针对上述质疑，论文作者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Hao Hong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指出我们论文中的错误。关于您提到的旷场通路图的问题，在整理对照组数据的过程中，由于数据量较大，我们未能充分核实图像，导致了无意中重复使用了相同的图像。我们对这一疏忽深表歉意，并已联系编辑进行勘误，以纠正通路图的错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此外，关于第二幅图中的脑切片观察，我们分析了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TGR5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GABA </w:t>
      </w:r>
      <w:r>
        <w:rPr>
          <w:rStyle w:val="any"/>
          <w:rFonts w:ascii="PMingLiU" w:eastAsia="PMingLiU" w:hAnsi="PMingLiU" w:cs="PMingLiU"/>
          <w:spacing w:val="8"/>
        </w:rPr>
        <w:t>能神经元中的共表达。图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展示的是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TGR5 </w:t>
      </w:r>
      <w:r>
        <w:rPr>
          <w:rStyle w:val="any"/>
          <w:rFonts w:ascii="PMingLiU" w:eastAsia="PMingLiU" w:hAnsi="PMingLiU" w:cs="PMingLiU"/>
          <w:spacing w:val="8"/>
        </w:rPr>
        <w:t>单独与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DAPI </w:t>
      </w:r>
      <w:r>
        <w:rPr>
          <w:rStyle w:val="any"/>
          <w:rFonts w:ascii="PMingLiU" w:eastAsia="PMingLiU" w:hAnsi="PMingLiU" w:cs="PMingLiU"/>
          <w:spacing w:val="8"/>
        </w:rPr>
        <w:t>的共染结果，而图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1H </w:t>
      </w:r>
      <w:r>
        <w:rPr>
          <w:rStyle w:val="any"/>
          <w:rFonts w:ascii="PMingLiU" w:eastAsia="PMingLiU" w:hAnsi="PMingLiU" w:cs="PMingLiU"/>
          <w:spacing w:val="8"/>
        </w:rPr>
        <w:t>进一步展示了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TGR5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GABA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DAPI </w:t>
      </w:r>
      <w:r>
        <w:rPr>
          <w:rStyle w:val="any"/>
          <w:rFonts w:ascii="PMingLiU" w:eastAsia="PMingLiU" w:hAnsi="PMingLiU" w:cs="PMingLiU"/>
          <w:spacing w:val="8"/>
        </w:rPr>
        <w:t>的三通道共染，其中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GABA </w:t>
      </w:r>
      <w:r>
        <w:rPr>
          <w:rStyle w:val="any"/>
          <w:rFonts w:ascii="PMingLiU" w:eastAsia="PMingLiU" w:hAnsi="PMingLiU" w:cs="PMingLiU"/>
          <w:spacing w:val="8"/>
        </w:rPr>
        <w:t>抗体是在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TGR5 </w:t>
      </w:r>
      <w:r>
        <w:rPr>
          <w:rStyle w:val="any"/>
          <w:rFonts w:ascii="PMingLiU" w:eastAsia="PMingLiU" w:hAnsi="PMingLiU" w:cs="PMingLiU"/>
          <w:spacing w:val="8"/>
        </w:rPr>
        <w:t>染色后孵育的。这些数据来自于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CSDS </w:t>
      </w:r>
      <w:r>
        <w:rPr>
          <w:rStyle w:val="any"/>
          <w:rFonts w:ascii="PMingLiU" w:eastAsia="PMingLiU" w:hAnsi="PMingLiU" w:cs="PMingLiU"/>
          <w:spacing w:val="8"/>
        </w:rPr>
        <w:t>模型的正常对照组，旨在验证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TGR5 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GABA </w:t>
      </w:r>
      <w:r>
        <w:rPr>
          <w:rStyle w:val="any"/>
          <w:rFonts w:ascii="PMingLiU" w:eastAsia="PMingLiU" w:hAnsi="PMingLiU" w:cs="PMingLiU"/>
          <w:spacing w:val="8"/>
        </w:rPr>
        <w:t>能神经元之间的关系。因此，需要澄清的是，这不是图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1H </w:t>
      </w:r>
      <w:r>
        <w:rPr>
          <w:rStyle w:val="any"/>
          <w:rFonts w:ascii="PMingLiU" w:eastAsia="PMingLiU" w:hAnsi="PMingLiU" w:cs="PMingLiU"/>
          <w:spacing w:val="8"/>
        </w:rPr>
        <w:t>之间的重复图片。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https://pubpeer.com/publications/35AA3DF451EE02BB2EC30D28F2D19D#0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中国药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中国药科大学</w:t>
        </w:r>
      </w:hyperlink>
      <w:hyperlink r:id="rId12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xMDYyNzI5NQ==&amp;action=getalbum&amp;album_id=3343930654635524098" TargetMode="External" /><Relationship Id="rId12" Type="http://schemas.openxmlformats.org/officeDocument/2006/relationships/hyperlink" Target="https://mp.weixin.qq.com/mp/appmsgalbum?__biz=MzkxMDYyNzI5NQ==&amp;action=getalbum&amp;album_id=3250021474770550788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47&amp;idx=4&amp;sn=ee93cc222e936dcd831ecee4c652c033&amp;chksm=c0003b023623914412d6c9a95a57cd1a2894d982dee552f1e202055aca06e8d41966d493935e&amp;scene=126&amp;sessionid=17433022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