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图像复制？中科院上海药物研究所与上海中医药大学药学院合著的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区论文被质疑！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19:40:22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中科院上海药物研究所</w:t>
      </w:r>
      <w:r>
        <w:rPr>
          <w:rStyle w:val="any"/>
          <w:color w:val="000000"/>
          <w:spacing w:val="8"/>
          <w:lang w:val="en-US" w:eastAsia="en-US"/>
        </w:rPr>
        <w:t>Yong Gan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与上海中医药大学药学院</w:t>
      </w:r>
      <w:r>
        <w:rPr>
          <w:rStyle w:val="any"/>
          <w:color w:val="000000"/>
          <w:spacing w:val="8"/>
          <w:lang w:val="en-US" w:eastAsia="en-US"/>
        </w:rPr>
        <w:t>Rui Wang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合作在期刊</w:t>
      </w:r>
      <w:r>
        <w:rPr>
          <w:rStyle w:val="any"/>
          <w:color w:val="000000"/>
          <w:spacing w:val="8"/>
          <w:lang w:val="en-US" w:eastAsia="en-US"/>
        </w:rPr>
        <w:t>Acta Pharmaceutica Sinica B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上发表一篇研究论文，研究发现了上调的肠叶酸转运蛋白指导配体修饰的纳米颗粒的摄取，以增强口服胰岛素的输送。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The upregulated intestinal folate transporters direct the uptake of ligand-modified nanoparticles for enhanced oral insulin delivery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Jingyi Li , Yaqi Zhang , Miaorong Yu , Aohua Wang , Yu Qiu , Weiwei Fan , Lars Hovgaard , Mingshi Yang , Yiming Li , Rui Wang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（通讯作者，音译，王瑞）</w:t>
      </w:r>
      <w:r>
        <w:rPr>
          <w:rStyle w:val="any"/>
          <w:color w:val="000000"/>
          <w:spacing w:val="8"/>
          <w:lang w:val="en-US" w:eastAsia="en-US"/>
        </w:rPr>
        <w:t>, Xiuying Li , Yong Gan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（通讯作者，音译，甘勇）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中科院上海药物研究所、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上海中医药大学药学院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3336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4042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Garcinia livingstonei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1B</w:t>
      </w:r>
      <w:r>
        <w:rPr>
          <w:rStyle w:val="any"/>
          <w:rFonts w:ascii="PMingLiU" w:eastAsia="PMingLiU" w:hAnsi="PMingLiU" w:cs="PMingLiU"/>
          <w:spacing w:val="8"/>
        </w:rPr>
        <w:t>中似乎有一个图像复制，如红色方块所示，其中相同的区域表示两种不同的实验条件。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5240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7338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https://pubpeer.com/publications/18A9E56653153313BDDE6C2330469E/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592&amp;idx=1&amp;sn=7f27a882856902e61e2b6365f19f5386&amp;chksm=c1992a693d024bcac9b3e6c1039d43c3010c2e556bedf17c1f2c3528fe77548b6f1cda6069cd&amp;scene=126&amp;sessionid=174333542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