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北京大学第三医院与中国药物依赖性研究所合著《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09:59:13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北京大学第三医院口腔科</w:t>
      </w:r>
      <w:r>
        <w:rPr>
          <w:rStyle w:val="any"/>
          <w:color w:val="000000"/>
          <w:spacing w:val="8"/>
          <w:lang w:val="en-US" w:eastAsia="en-US"/>
        </w:rPr>
        <w:t>Xiao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与北京大学中国药物依赖性研究所</w:t>
      </w:r>
      <w:r>
        <w:rPr>
          <w:rStyle w:val="any"/>
          <w:color w:val="000000"/>
          <w:spacing w:val="8"/>
          <w:lang w:val="en-US" w:eastAsia="en-US"/>
        </w:rPr>
        <w:t>Weili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上发表一篇研究论文，研究发现了芍药苷通过调节</w:t>
      </w:r>
      <w:r>
        <w:rPr>
          <w:rStyle w:val="any"/>
          <w:color w:val="000000"/>
          <w:spacing w:val="8"/>
          <w:lang w:val="en-US" w:eastAsia="en-US"/>
        </w:rPr>
        <w:t>Th1/Th2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细胞因子驱动口腔扁平苔藓间充质干细胞的免疫调节作用。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Paeoniflorin drives the immunomodulatory effects of mesenchymal stem cells by regulating Th1/Th2 cytokines in oral lichen planus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Zhihui Zhang , Yan Zhang , Zhongfang Zhao , Pei Li , Danyang Chen , Wei Wang , Ying Han , Shiqi Zou , Xin Jin , Jianling Zhao , Hongwei Liu , Xiao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（通讯作者，音译，王霄）</w:t>
      </w:r>
      <w:r>
        <w:rPr>
          <w:rStyle w:val="any"/>
          <w:color w:val="000000"/>
          <w:spacing w:val="8"/>
          <w:lang w:val="en-US" w:eastAsia="en-US"/>
        </w:rPr>
        <w:t>, Weili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（通讯作者，音译，朱维莉）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北京大学第三医院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口腔科、北京大学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中国药物依赖性研究所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4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：皮肤移植和对照条件显示了大部分重叠的图像。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52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29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https://pubpeer.com/publications/8C9C77DE7E17FAFBD5C355AB63E086/#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36&amp;idx=1&amp;sn=e9e7d9545db29604873795b5e0536828&amp;chksm=c1c53c6bd1d3f4fa67764e62ed3ec45cbb8d48ed18e9b1eb233d70f9c6592efcf2ab377e794e&amp;scene=126&amp;sessionid=174326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