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04144"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00304"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011c0ce455f9e7bfe74a3b299575c9bc64263191ec475b500ecec302c036b5da67c99cb00b&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