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90935"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0350"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5498654501f8da58ea718e024a2a8b34fd6e985ae003f94568549cfe3eb21a96efe32c32c8&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