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重磅！浙江大学药学院求是特聘教授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2019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 Communications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00:05:45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Nature Communications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 Jul 26;10(1):3349.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10.1038/s41467-019-11269-8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：意外的重复老鼠，我添加了红色矩形来显示我的意思。请作者核实并发表意见？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289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6002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https://pubmed.ncbi.nlm.nih.gov/31350406/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003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8964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游剑，浙江大学药剂学博士，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求是特聘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教授，博士生导师。研究领域：药物制剂工程、药物高端制剂、药物临床转化。高端药物制剂基础与应用研究，探索药物制剂从基础研究到产业化的关键核心技术，尤其聚焦于脂质体、脂微球等纳米制剂的临床转化。在国内外重要刊物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余篇。作为通讯作者，在包括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Nat Nanotechnol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 Adv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Nat Commun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Adv Sci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Acs nano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ACS Central Sci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 Control Release</w:t>
      </w:r>
      <w:r>
        <w:rPr>
          <w:rStyle w:val="any"/>
          <w:rFonts w:ascii="PMingLiU" w:eastAsia="PMingLiU" w:hAnsi="PMingLiU" w:cs="PMingLiU"/>
          <w:spacing w:val="8"/>
        </w:rPr>
        <w:t>等发表研究型论文，被他引用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4000</w:t>
      </w:r>
      <w:r>
        <w:rPr>
          <w:rStyle w:val="any"/>
          <w:rFonts w:ascii="PMingLiU" w:eastAsia="PMingLiU" w:hAnsi="PMingLiU" w:cs="PMingLiU"/>
          <w:spacing w:val="8"/>
        </w:rPr>
        <w:t>余次，单篇最高引用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600</w:t>
      </w:r>
      <w:r>
        <w:rPr>
          <w:rStyle w:val="any"/>
          <w:rFonts w:ascii="PMingLiU" w:eastAsia="PMingLiU" w:hAnsi="PMingLiU" w:cs="PMingLiU"/>
          <w:spacing w:val="8"/>
        </w:rPr>
        <w:t>余次。获中国发明专利授权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余项、申请两项国际发明专利，获教育部自然科学奖二等奖、浙江省科学技术奖一等奖两项，获中国药学会青年药剂学奖等。入选国家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万人计划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、科技部科技创新领军人才。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https://pubpeer.com/publications/B3D900FE6D2D4116FD0437D235EFC7#1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55&amp;idx=1&amp;sn=b760664d0ade58f6fd96bcdcb9713365&amp;chksm=c354c3e8bf8e79854ab5b8a409163ff104999e2fd89795ad2a855d7ea4e6899e14a341083ede&amp;scene=126&amp;sessionid=17432688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