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81419"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52180fa27cdd381e19e61f1e5c2556c3f68f86c60708b5750b924eb4dc64f0dace7a3e6430&amp;scene=126&amp;sessionid=17432682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