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7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8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8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47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25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16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99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aa4dc7924f512e490cd71817ad68dc3282bbd619fe576ad01ec22cafa72e88331a9b78cb9a&amp;scene=126&amp;sessionid=17433206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