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南通市第一人民医院介入科研究受疑，科研规范待审视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19:06:50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784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近日，发表于《Translational Cancer Research》期刊的研究‘H19/miR-152-3p/TCF4 axis increases chemosensitivity of gastric cancer cells through suppression of epithelial-mesenchymal transition’ 因图像问题引发关注。该研究由Xiaodong Jiang , Wenbin Ding , Weiguang Shen , Jie Jin（通讯作者） 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南通市第一人民医院（南通大学第二附属医院）介入科。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0629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965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06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59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2023年9月评论人Hoya camphorifolia指出本文结果与其他研究图像重复：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240547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6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054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7472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656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https://pubpeer.com/publications/058E6378281F899D759B7EB96B20FA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554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843&amp;idx=1&amp;sn=c682fa393f747493e4440d765ca6876a&amp;chksm=c3c108f6b485d7be5782997e7a7d44e4192f2a97cc5cdfd90b1f99b9dfbb361a65ef5e2ed375&amp;scene=126&amp;sessionid=17433354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