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中国医科大学第一医院论文现重大质疑：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印迹及图像面板重复现象突出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15:39:20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4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2018年5月14日，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中国医科大学第一医院肿瘤内科在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Cancer（中科院二区 IF=6.4）期刊上在线发表题为"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AZ304, a novel dual BRAF inhibitor, exerts anti-tumour effects in colorectal cancer independently of BRAF genetic status"的论文。第一作者：中国医科大学第一医院 Rui Ma, Ling Xu；通讯作者：中国医科大学第一医院 Yunpeng Liu，Xiujuan Qu。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该研究得到了以下项目的资助：中国国家科学技术部国家科技重大专项（编号：2017ZX09304025）、中国国家自然科学基金（编号：81673025, 81372546）、辽宁省科学技术计划项目中医临床能力建设专项（编号：2016007010, 2015020457, 2014021069, 2014226033, 2014225013）、沈阳市重点研发计划（编号：17-230-9-01）以及中国医科大学国家自然科学基金-优秀青年人才培养计划项目（编号：YQ20160002）。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1183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35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00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80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58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22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42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16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https://www.pubpeer.org/publications/37D31008B170D0522143296CEAE762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21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60&amp;idx=1&amp;sn=f95595d830bbe9816b8c65e41197717e&amp;chksm=c31071da0fd7faf51d60dd806631b2cbc18188918e14b8e8c61e7adc2731223acec13b8c8915&amp;scene=126&amp;sessionid=17432684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