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西南医科大学基础医学院院长吴建明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药学院教授王龙团队的论文图像存在重复！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69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59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94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2022年4月30日，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西南医科大学药学院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Nature Medicine(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IF=58.7)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 novel therapeutic strategy for leukopenia: Miltefosine activates the Ras/MEK/ERK pathway to promote neutrophil differentiation"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白细胞减少症的新型治疗策略：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米替福新激活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Ras/MEK/ERK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通路，促进中性粒细胞分化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Qinyao Li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Siyu He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Long Wang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),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Jianming Wu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吴建明）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本研究得到了以下项目的资助：国家自然科学基金（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82204666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82074129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81774013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82273889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）、四川省自然科学基金一般项目（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2024NSFSC0711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2023NSFSC0657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）、四川省科学技术计划联合创新项目（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2022YFS0635-B1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）、泸州市人民政府与西南医科大学联合项目（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2024LZXNYDJ030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）、四川省杰出青年基金项目（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2022JDJQ0061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）以及中国大学生创新创业训练计划（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202410632006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202210632031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202310632102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S202310632303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29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56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5" name="" descr="西南医科大学怎么样？好不好就业呢？就业前景好吗？ - 西南医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74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77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经过DataTwin检测，本文的图3C中存在部分重叠。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76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https://www.sciencedirect.com/science/article/abs/pii/S0006291X24017753?via%3Dihub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5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25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38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1&amp;sn=5e00e5b85ef1db85fc58c62573ce8995&amp;chksm=c32a14e64a80cefb143705d4ed6a87847b98fabab51a8ec74afafe2a194ad895d87a73811066&amp;scene=126&amp;sessionid=1743180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